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024164" w:rsidRPr="00403D69" w14:paraId="7A19597C" w14:textId="77777777" w:rsidTr="00024164">
        <w:trPr>
          <w:trHeight w:val="276"/>
        </w:trPr>
        <w:tc>
          <w:tcPr>
            <w:tcW w:w="4439" w:type="pct"/>
            <w:vMerge w:val="restart"/>
            <w:shd w:val="clear" w:color="auto" w:fill="auto"/>
            <w:hideMark/>
          </w:tcPr>
          <w:p w14:paraId="31687156" w14:textId="77777777" w:rsidR="00024164" w:rsidRPr="00403D69" w:rsidRDefault="00024164" w:rsidP="00024164">
            <w:pPr>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14:paraId="0ED0C4C4" w14:textId="77777777" w:rsidR="00024164" w:rsidRPr="00403D69" w:rsidRDefault="00024164" w:rsidP="00024164">
            <w:pPr>
              <w:ind w:left="-51"/>
              <w:jc w:val="center"/>
              <w:rPr>
                <w:rFonts w:ascii="Arial" w:hAnsi="Arial" w:cs="Arial"/>
                <w:b/>
              </w:rPr>
            </w:pPr>
            <w:r w:rsidRPr="00403D69">
              <w:rPr>
                <w:rFonts w:ascii="Arial" w:hAnsi="Arial" w:cs="Arial"/>
                <w:b/>
              </w:rPr>
              <w:t>PÁGINA</w:t>
            </w:r>
          </w:p>
        </w:tc>
      </w:tr>
      <w:tr w:rsidR="00024164" w:rsidRPr="00403D69" w14:paraId="1D230FC4" w14:textId="77777777" w:rsidTr="00024164">
        <w:trPr>
          <w:trHeight w:val="414"/>
        </w:trPr>
        <w:tc>
          <w:tcPr>
            <w:tcW w:w="4439" w:type="pct"/>
            <w:vMerge/>
            <w:shd w:val="clear" w:color="auto" w:fill="auto"/>
            <w:hideMark/>
          </w:tcPr>
          <w:p w14:paraId="398AD26C"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1DB75420" w14:textId="77777777" w:rsidR="00024164" w:rsidRPr="00403D69" w:rsidRDefault="00024164" w:rsidP="00024164">
            <w:pPr>
              <w:spacing w:line="360" w:lineRule="auto"/>
              <w:jc w:val="center"/>
              <w:rPr>
                <w:rFonts w:ascii="Arial" w:hAnsi="Arial" w:cs="Arial"/>
              </w:rPr>
            </w:pPr>
          </w:p>
        </w:tc>
      </w:tr>
      <w:tr w:rsidR="00024164" w:rsidRPr="00403D69" w14:paraId="36178D60" w14:textId="77777777" w:rsidTr="00024164">
        <w:trPr>
          <w:trHeight w:val="414"/>
        </w:trPr>
        <w:tc>
          <w:tcPr>
            <w:tcW w:w="4439" w:type="pct"/>
            <w:vMerge/>
            <w:shd w:val="clear" w:color="auto" w:fill="auto"/>
            <w:hideMark/>
          </w:tcPr>
          <w:p w14:paraId="65209842"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2E7E15D0" w14:textId="77777777" w:rsidR="00024164" w:rsidRPr="00403D69" w:rsidRDefault="00024164" w:rsidP="00024164">
            <w:pPr>
              <w:spacing w:line="360" w:lineRule="auto"/>
              <w:jc w:val="center"/>
              <w:rPr>
                <w:rFonts w:ascii="Arial" w:hAnsi="Arial" w:cs="Arial"/>
                <w:b/>
              </w:rPr>
            </w:pPr>
          </w:p>
        </w:tc>
      </w:tr>
      <w:tr w:rsidR="00024164" w:rsidRPr="00403D69" w14:paraId="501D9C8B" w14:textId="77777777" w:rsidTr="00024164">
        <w:trPr>
          <w:trHeight w:val="414"/>
        </w:trPr>
        <w:tc>
          <w:tcPr>
            <w:tcW w:w="4439" w:type="pct"/>
            <w:vMerge w:val="restart"/>
            <w:shd w:val="clear" w:color="auto" w:fill="auto"/>
            <w:hideMark/>
          </w:tcPr>
          <w:p w14:paraId="40977A49" w14:textId="77777777" w:rsidR="00024164" w:rsidRDefault="00024164" w:rsidP="00024164">
            <w:pPr>
              <w:spacing w:line="360" w:lineRule="auto"/>
              <w:rPr>
                <w:rFonts w:ascii="Arial" w:hAnsi="Arial" w:cs="Arial"/>
                <w:b/>
                <w:bCs/>
              </w:rPr>
            </w:pPr>
            <w:r w:rsidRPr="00C84572">
              <w:rPr>
                <w:rFonts w:ascii="Arial" w:hAnsi="Arial" w:cs="Arial"/>
                <w:b/>
                <w:bCs/>
              </w:rPr>
              <w:t>INTRODUCCIÓN</w:t>
            </w:r>
          </w:p>
          <w:p w14:paraId="0E3B1744" w14:textId="77777777" w:rsidR="00024164" w:rsidRPr="00C84572" w:rsidRDefault="00024164" w:rsidP="00024164">
            <w:pPr>
              <w:spacing w:line="360" w:lineRule="auto"/>
              <w:rPr>
                <w:rFonts w:ascii="Arial" w:hAnsi="Arial" w:cs="Arial"/>
                <w:b/>
                <w:bCs/>
              </w:rPr>
            </w:pPr>
          </w:p>
        </w:tc>
        <w:tc>
          <w:tcPr>
            <w:tcW w:w="561" w:type="pct"/>
            <w:vMerge w:val="restart"/>
            <w:shd w:val="clear" w:color="auto" w:fill="auto"/>
            <w:hideMark/>
          </w:tcPr>
          <w:p w14:paraId="0BF84FE4" w14:textId="4ECCCB0D" w:rsidR="00024164" w:rsidRPr="00403D69" w:rsidRDefault="00995A30" w:rsidP="00024164">
            <w:pPr>
              <w:spacing w:line="360" w:lineRule="auto"/>
              <w:jc w:val="center"/>
              <w:rPr>
                <w:rFonts w:ascii="Arial" w:hAnsi="Arial" w:cs="Arial"/>
                <w:b/>
              </w:rPr>
            </w:pPr>
            <w:r>
              <w:rPr>
                <w:rFonts w:ascii="Arial" w:hAnsi="Arial" w:cs="Arial"/>
                <w:b/>
              </w:rPr>
              <w:t>3</w:t>
            </w:r>
          </w:p>
        </w:tc>
      </w:tr>
      <w:tr w:rsidR="00024164" w:rsidRPr="00403D69" w14:paraId="5A47008A" w14:textId="77777777" w:rsidTr="00024164">
        <w:trPr>
          <w:trHeight w:val="414"/>
        </w:trPr>
        <w:tc>
          <w:tcPr>
            <w:tcW w:w="4439" w:type="pct"/>
            <w:vMerge/>
            <w:shd w:val="clear" w:color="auto" w:fill="auto"/>
            <w:hideMark/>
          </w:tcPr>
          <w:p w14:paraId="1B0B5B9D"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1DC644B8" w14:textId="77777777" w:rsidR="00024164" w:rsidRPr="00403D69" w:rsidRDefault="00024164" w:rsidP="00024164">
            <w:pPr>
              <w:spacing w:line="360" w:lineRule="auto"/>
              <w:jc w:val="center"/>
              <w:rPr>
                <w:rFonts w:ascii="Arial" w:hAnsi="Arial" w:cs="Arial"/>
                <w:b/>
              </w:rPr>
            </w:pPr>
          </w:p>
        </w:tc>
      </w:tr>
      <w:tr w:rsidR="00024164" w:rsidRPr="00403D69" w14:paraId="48743008" w14:textId="77777777" w:rsidTr="00024164">
        <w:trPr>
          <w:trHeight w:val="414"/>
        </w:trPr>
        <w:tc>
          <w:tcPr>
            <w:tcW w:w="4439" w:type="pct"/>
            <w:vMerge w:val="restart"/>
            <w:shd w:val="clear" w:color="auto" w:fill="auto"/>
            <w:hideMark/>
          </w:tcPr>
          <w:p w14:paraId="70EC82B9" w14:textId="77777777" w:rsidR="00024164" w:rsidRPr="00403D69" w:rsidRDefault="00024164" w:rsidP="00024164">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3C5FF62F" w14:textId="20DCC732" w:rsidR="00024164" w:rsidRPr="00403D69" w:rsidRDefault="00024164" w:rsidP="00024164">
            <w:pPr>
              <w:tabs>
                <w:tab w:val="left" w:pos="380"/>
                <w:tab w:val="center" w:pos="455"/>
              </w:tabs>
              <w:spacing w:line="360" w:lineRule="auto"/>
              <w:rPr>
                <w:rFonts w:ascii="Arial" w:hAnsi="Arial" w:cs="Arial"/>
                <w:b/>
              </w:rPr>
            </w:pPr>
            <w:r>
              <w:rPr>
                <w:rFonts w:ascii="Arial" w:hAnsi="Arial" w:cs="Arial"/>
                <w:b/>
              </w:rPr>
              <w:tab/>
            </w:r>
            <w:r w:rsidR="00995A30">
              <w:rPr>
                <w:rFonts w:ascii="Arial" w:hAnsi="Arial" w:cs="Arial"/>
                <w:b/>
              </w:rPr>
              <w:t>5</w:t>
            </w:r>
          </w:p>
        </w:tc>
      </w:tr>
      <w:tr w:rsidR="00024164" w:rsidRPr="00403D69" w14:paraId="74786712" w14:textId="77777777" w:rsidTr="00024164">
        <w:trPr>
          <w:trHeight w:val="414"/>
        </w:trPr>
        <w:tc>
          <w:tcPr>
            <w:tcW w:w="4439" w:type="pct"/>
            <w:vMerge/>
            <w:shd w:val="clear" w:color="auto" w:fill="auto"/>
            <w:hideMark/>
          </w:tcPr>
          <w:p w14:paraId="2C637D45"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7FC99C26" w14:textId="77777777" w:rsidR="00024164" w:rsidRPr="00403D69" w:rsidRDefault="00024164" w:rsidP="00024164">
            <w:pPr>
              <w:spacing w:line="360" w:lineRule="auto"/>
              <w:jc w:val="center"/>
              <w:rPr>
                <w:rFonts w:ascii="Arial" w:hAnsi="Arial" w:cs="Arial"/>
                <w:b/>
              </w:rPr>
            </w:pPr>
          </w:p>
        </w:tc>
      </w:tr>
      <w:tr w:rsidR="00024164" w:rsidRPr="00403D69" w14:paraId="48B36A0B" w14:textId="77777777" w:rsidTr="00024164">
        <w:trPr>
          <w:trHeight w:val="414"/>
        </w:trPr>
        <w:tc>
          <w:tcPr>
            <w:tcW w:w="4439" w:type="pct"/>
            <w:vMerge w:val="restart"/>
            <w:shd w:val="clear" w:color="auto" w:fill="auto"/>
            <w:hideMark/>
          </w:tcPr>
          <w:p w14:paraId="4A1714C0" w14:textId="1681D630" w:rsidR="00024164" w:rsidRPr="00403D69" w:rsidRDefault="00024164" w:rsidP="00024164">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283E349" w14:textId="77777777" w:rsidR="00024164" w:rsidRPr="00403D69" w:rsidRDefault="00024164" w:rsidP="00024164">
            <w:pPr>
              <w:spacing w:line="360" w:lineRule="auto"/>
              <w:jc w:val="center"/>
              <w:rPr>
                <w:rFonts w:ascii="Arial" w:hAnsi="Arial" w:cs="Arial"/>
                <w:b/>
              </w:rPr>
            </w:pPr>
          </w:p>
        </w:tc>
      </w:tr>
      <w:tr w:rsidR="00024164" w:rsidRPr="00403D69" w14:paraId="56FC5448" w14:textId="77777777" w:rsidTr="00024164">
        <w:trPr>
          <w:trHeight w:val="414"/>
        </w:trPr>
        <w:tc>
          <w:tcPr>
            <w:tcW w:w="4439" w:type="pct"/>
            <w:vMerge/>
            <w:shd w:val="clear" w:color="auto" w:fill="auto"/>
            <w:hideMark/>
          </w:tcPr>
          <w:p w14:paraId="25F81206"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38D8247B" w14:textId="77777777" w:rsidR="00024164" w:rsidRPr="00403D69" w:rsidRDefault="00024164" w:rsidP="00024164">
            <w:pPr>
              <w:spacing w:line="360" w:lineRule="auto"/>
              <w:jc w:val="center"/>
              <w:rPr>
                <w:rFonts w:ascii="Arial" w:hAnsi="Arial" w:cs="Arial"/>
                <w:b/>
              </w:rPr>
            </w:pPr>
          </w:p>
        </w:tc>
      </w:tr>
      <w:tr w:rsidR="00024164" w:rsidRPr="00403D69" w14:paraId="510B43EA" w14:textId="77777777" w:rsidTr="00024164">
        <w:trPr>
          <w:trHeight w:val="20"/>
        </w:trPr>
        <w:tc>
          <w:tcPr>
            <w:tcW w:w="4439" w:type="pct"/>
            <w:shd w:val="clear" w:color="auto" w:fill="auto"/>
            <w:hideMark/>
          </w:tcPr>
          <w:p w14:paraId="293A2094" w14:textId="77777777" w:rsidR="00024164" w:rsidRPr="00403D69" w:rsidRDefault="00024164" w:rsidP="00024164">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600A01D" w14:textId="6E7FB20F" w:rsidR="00024164" w:rsidRPr="00403D69" w:rsidRDefault="00995A30" w:rsidP="00024164">
            <w:pPr>
              <w:spacing w:line="360" w:lineRule="auto"/>
              <w:jc w:val="center"/>
              <w:rPr>
                <w:rFonts w:ascii="Arial" w:hAnsi="Arial" w:cs="Arial"/>
                <w:b/>
              </w:rPr>
            </w:pPr>
            <w:r>
              <w:rPr>
                <w:rFonts w:ascii="Arial" w:hAnsi="Arial" w:cs="Arial"/>
                <w:b/>
              </w:rPr>
              <w:t>6</w:t>
            </w:r>
          </w:p>
        </w:tc>
      </w:tr>
      <w:bookmarkEnd w:id="1"/>
      <w:tr w:rsidR="00024164" w:rsidRPr="00403D69" w14:paraId="2C586058" w14:textId="77777777" w:rsidTr="00024164">
        <w:trPr>
          <w:trHeight w:val="20"/>
        </w:trPr>
        <w:tc>
          <w:tcPr>
            <w:tcW w:w="4439" w:type="pct"/>
            <w:shd w:val="clear" w:color="auto" w:fill="auto"/>
          </w:tcPr>
          <w:p w14:paraId="38393782"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613455B" w14:textId="4F953BF8" w:rsidR="00024164" w:rsidRPr="00403D69" w:rsidRDefault="00995A30" w:rsidP="00024164">
            <w:pPr>
              <w:spacing w:line="360" w:lineRule="auto"/>
              <w:jc w:val="center"/>
              <w:rPr>
                <w:rFonts w:ascii="Arial" w:hAnsi="Arial" w:cs="Arial"/>
                <w:b/>
              </w:rPr>
            </w:pPr>
            <w:r>
              <w:rPr>
                <w:rFonts w:ascii="Arial" w:hAnsi="Arial" w:cs="Arial"/>
                <w:b/>
              </w:rPr>
              <w:t>6</w:t>
            </w:r>
          </w:p>
        </w:tc>
      </w:tr>
      <w:tr w:rsidR="00024164" w:rsidRPr="00403D69" w14:paraId="4A1735CF" w14:textId="77777777" w:rsidTr="00024164">
        <w:trPr>
          <w:trHeight w:val="20"/>
        </w:trPr>
        <w:tc>
          <w:tcPr>
            <w:tcW w:w="4439" w:type="pct"/>
            <w:shd w:val="clear" w:color="auto" w:fill="auto"/>
          </w:tcPr>
          <w:p w14:paraId="5574D0DB" w14:textId="77777777" w:rsidR="00024164" w:rsidRPr="00403D69" w:rsidRDefault="00024164" w:rsidP="00024164">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7D7D46EF" w14:textId="59AE23EE" w:rsidR="00024164" w:rsidRPr="00403D69" w:rsidRDefault="00995A30" w:rsidP="00024164">
            <w:pPr>
              <w:spacing w:line="360" w:lineRule="auto"/>
              <w:jc w:val="center"/>
              <w:rPr>
                <w:rFonts w:ascii="Arial" w:hAnsi="Arial" w:cs="Arial"/>
                <w:b/>
              </w:rPr>
            </w:pPr>
            <w:r>
              <w:rPr>
                <w:rFonts w:ascii="Arial" w:hAnsi="Arial" w:cs="Arial"/>
                <w:b/>
              </w:rPr>
              <w:t>7</w:t>
            </w:r>
          </w:p>
        </w:tc>
      </w:tr>
      <w:tr w:rsidR="00024164" w:rsidRPr="00403D69" w14:paraId="22F965F3" w14:textId="77777777" w:rsidTr="00024164">
        <w:trPr>
          <w:trHeight w:val="20"/>
        </w:trPr>
        <w:tc>
          <w:tcPr>
            <w:tcW w:w="4439" w:type="pct"/>
            <w:shd w:val="clear" w:color="auto" w:fill="auto"/>
          </w:tcPr>
          <w:p w14:paraId="7778311E"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590153D1" w14:textId="6EFD0E25" w:rsidR="00024164" w:rsidRPr="00403D69" w:rsidRDefault="00995A30" w:rsidP="00024164">
            <w:pPr>
              <w:spacing w:line="360" w:lineRule="auto"/>
              <w:jc w:val="center"/>
              <w:rPr>
                <w:rFonts w:ascii="Arial" w:hAnsi="Arial" w:cs="Arial"/>
                <w:b/>
              </w:rPr>
            </w:pPr>
            <w:r>
              <w:rPr>
                <w:rFonts w:ascii="Arial" w:hAnsi="Arial" w:cs="Arial"/>
                <w:b/>
              </w:rPr>
              <w:t>7</w:t>
            </w:r>
          </w:p>
        </w:tc>
      </w:tr>
      <w:tr w:rsidR="00024164" w:rsidRPr="00403D69" w14:paraId="01912D57" w14:textId="77777777" w:rsidTr="00024164">
        <w:trPr>
          <w:trHeight w:val="20"/>
        </w:trPr>
        <w:tc>
          <w:tcPr>
            <w:tcW w:w="4439" w:type="pct"/>
            <w:shd w:val="clear" w:color="auto" w:fill="auto"/>
          </w:tcPr>
          <w:p w14:paraId="54C8D9C4" w14:textId="77777777" w:rsidR="00024164" w:rsidRPr="00945D64" w:rsidRDefault="00024164" w:rsidP="00024164">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385720C6" w14:textId="28503D6C" w:rsidR="00024164" w:rsidRPr="00403D69" w:rsidRDefault="00995A30" w:rsidP="00024164">
            <w:pPr>
              <w:spacing w:line="360" w:lineRule="auto"/>
              <w:jc w:val="center"/>
              <w:rPr>
                <w:rFonts w:ascii="Arial" w:hAnsi="Arial" w:cs="Arial"/>
                <w:b/>
              </w:rPr>
            </w:pPr>
            <w:r>
              <w:rPr>
                <w:rFonts w:ascii="Arial" w:hAnsi="Arial" w:cs="Arial"/>
                <w:b/>
              </w:rPr>
              <w:t>8</w:t>
            </w:r>
          </w:p>
        </w:tc>
      </w:tr>
      <w:tr w:rsidR="00024164" w:rsidRPr="00403D69" w14:paraId="6DFF9064" w14:textId="77777777" w:rsidTr="00024164">
        <w:trPr>
          <w:trHeight w:val="20"/>
        </w:trPr>
        <w:tc>
          <w:tcPr>
            <w:tcW w:w="4439" w:type="pct"/>
            <w:shd w:val="clear" w:color="auto" w:fill="auto"/>
          </w:tcPr>
          <w:p w14:paraId="39851B2D"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42706C82" w14:textId="5AB4B1F1" w:rsidR="00024164" w:rsidRPr="00403D69" w:rsidRDefault="00995A30" w:rsidP="00024164">
            <w:pPr>
              <w:spacing w:line="360" w:lineRule="auto"/>
              <w:jc w:val="center"/>
              <w:rPr>
                <w:rFonts w:ascii="Arial" w:hAnsi="Arial" w:cs="Arial"/>
                <w:b/>
              </w:rPr>
            </w:pPr>
            <w:r>
              <w:rPr>
                <w:rFonts w:ascii="Arial" w:hAnsi="Arial" w:cs="Arial"/>
                <w:b/>
              </w:rPr>
              <w:t>9</w:t>
            </w:r>
          </w:p>
        </w:tc>
      </w:tr>
      <w:tr w:rsidR="00024164" w:rsidRPr="00403D69" w14:paraId="64D766FA" w14:textId="77777777" w:rsidTr="00024164">
        <w:trPr>
          <w:trHeight w:val="20"/>
        </w:trPr>
        <w:tc>
          <w:tcPr>
            <w:tcW w:w="4439" w:type="pct"/>
            <w:shd w:val="clear" w:color="auto" w:fill="auto"/>
          </w:tcPr>
          <w:p w14:paraId="00532C04" w14:textId="77777777" w:rsidR="00024164" w:rsidRPr="00403D69" w:rsidRDefault="00024164" w:rsidP="00024164">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1CC4749" w14:textId="193568F8" w:rsidR="00024164" w:rsidRPr="00403D69" w:rsidRDefault="00995A30" w:rsidP="00024164">
            <w:pPr>
              <w:spacing w:line="360" w:lineRule="auto"/>
              <w:jc w:val="center"/>
              <w:rPr>
                <w:rFonts w:ascii="Arial" w:hAnsi="Arial" w:cs="Arial"/>
                <w:b/>
              </w:rPr>
            </w:pPr>
            <w:r>
              <w:rPr>
                <w:rFonts w:ascii="Arial" w:hAnsi="Arial" w:cs="Arial"/>
                <w:b/>
              </w:rPr>
              <w:t>9</w:t>
            </w:r>
          </w:p>
        </w:tc>
      </w:tr>
      <w:tr w:rsidR="00024164" w:rsidRPr="00403D69" w14:paraId="459FA163" w14:textId="77777777" w:rsidTr="00024164">
        <w:trPr>
          <w:trHeight w:val="20"/>
        </w:trPr>
        <w:tc>
          <w:tcPr>
            <w:tcW w:w="4439" w:type="pct"/>
            <w:shd w:val="clear" w:color="auto" w:fill="auto"/>
          </w:tcPr>
          <w:p w14:paraId="36967A84" w14:textId="77777777" w:rsidR="00024164" w:rsidRPr="00373686" w:rsidRDefault="00024164" w:rsidP="00024164">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45E6E302" w14:textId="64F49D91" w:rsidR="00024164" w:rsidRDefault="00024164" w:rsidP="00024164">
            <w:pPr>
              <w:spacing w:line="360" w:lineRule="auto"/>
              <w:jc w:val="center"/>
              <w:rPr>
                <w:rFonts w:ascii="Arial" w:hAnsi="Arial" w:cs="Arial"/>
                <w:b/>
              </w:rPr>
            </w:pPr>
            <w:r w:rsidRPr="00373686">
              <w:rPr>
                <w:rFonts w:ascii="Arial" w:hAnsi="Arial" w:cs="Arial"/>
                <w:b/>
              </w:rPr>
              <w:t>1</w:t>
            </w:r>
            <w:r w:rsidR="00995A30">
              <w:rPr>
                <w:rFonts w:ascii="Arial" w:hAnsi="Arial" w:cs="Arial"/>
                <w:b/>
              </w:rPr>
              <w:t>2</w:t>
            </w:r>
          </w:p>
        </w:tc>
      </w:tr>
      <w:tr w:rsidR="00024164" w:rsidRPr="00403D69" w14:paraId="381B91C6" w14:textId="77777777" w:rsidTr="00024164">
        <w:trPr>
          <w:trHeight w:val="20"/>
        </w:trPr>
        <w:tc>
          <w:tcPr>
            <w:tcW w:w="4439" w:type="pct"/>
            <w:shd w:val="clear" w:color="auto" w:fill="auto"/>
          </w:tcPr>
          <w:p w14:paraId="17FF2EC1" w14:textId="77777777" w:rsidR="00024164" w:rsidRPr="001B3167" w:rsidRDefault="00024164" w:rsidP="00024164">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33B16925" w14:textId="28A14863" w:rsidR="00024164" w:rsidRPr="00403D69" w:rsidRDefault="00024164" w:rsidP="00024164">
            <w:pPr>
              <w:spacing w:line="360" w:lineRule="auto"/>
              <w:jc w:val="center"/>
              <w:rPr>
                <w:rFonts w:ascii="Arial" w:hAnsi="Arial" w:cs="Arial"/>
                <w:b/>
              </w:rPr>
            </w:pPr>
            <w:r w:rsidRPr="001B3167">
              <w:rPr>
                <w:rFonts w:ascii="Arial" w:hAnsi="Arial" w:cs="Arial"/>
                <w:b/>
              </w:rPr>
              <w:t>1</w:t>
            </w:r>
            <w:r w:rsidR="00995A30">
              <w:rPr>
                <w:rFonts w:ascii="Arial" w:hAnsi="Arial" w:cs="Arial"/>
                <w:b/>
              </w:rPr>
              <w:t>2</w:t>
            </w:r>
          </w:p>
        </w:tc>
      </w:tr>
      <w:tr w:rsidR="00024164" w:rsidRPr="00403D69" w14:paraId="15E68349" w14:textId="77777777" w:rsidTr="00024164">
        <w:trPr>
          <w:trHeight w:val="20"/>
        </w:trPr>
        <w:tc>
          <w:tcPr>
            <w:tcW w:w="4439" w:type="pct"/>
            <w:shd w:val="clear" w:color="auto" w:fill="auto"/>
          </w:tcPr>
          <w:p w14:paraId="14B430E6"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FC4A478" w14:textId="455195E9" w:rsidR="00024164" w:rsidRPr="00403D69" w:rsidRDefault="00024164" w:rsidP="00024164">
            <w:pPr>
              <w:spacing w:line="360" w:lineRule="auto"/>
              <w:jc w:val="center"/>
              <w:rPr>
                <w:rFonts w:ascii="Arial" w:hAnsi="Arial" w:cs="Arial"/>
                <w:b/>
              </w:rPr>
            </w:pPr>
            <w:r>
              <w:rPr>
                <w:rFonts w:ascii="Arial" w:hAnsi="Arial" w:cs="Arial"/>
                <w:b/>
              </w:rPr>
              <w:t>1</w:t>
            </w:r>
            <w:r w:rsidR="00995A30">
              <w:rPr>
                <w:rFonts w:ascii="Arial" w:hAnsi="Arial" w:cs="Arial"/>
                <w:b/>
              </w:rPr>
              <w:t>3</w:t>
            </w:r>
          </w:p>
        </w:tc>
      </w:tr>
      <w:tr w:rsidR="00024164" w:rsidRPr="00403D69" w14:paraId="526118B9" w14:textId="77777777" w:rsidTr="00024164">
        <w:trPr>
          <w:trHeight w:val="20"/>
        </w:trPr>
        <w:tc>
          <w:tcPr>
            <w:tcW w:w="4439" w:type="pct"/>
            <w:shd w:val="clear" w:color="auto" w:fill="auto"/>
            <w:hideMark/>
          </w:tcPr>
          <w:p w14:paraId="47474C61" w14:textId="77777777" w:rsidR="00024164" w:rsidRPr="00403D69" w:rsidRDefault="00024164" w:rsidP="00024164">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1549FC4F" w14:textId="2411499F" w:rsidR="00024164" w:rsidRPr="00403D69" w:rsidRDefault="00024164" w:rsidP="00024164">
            <w:pPr>
              <w:spacing w:line="360" w:lineRule="auto"/>
              <w:jc w:val="center"/>
              <w:rPr>
                <w:rFonts w:ascii="Arial" w:hAnsi="Arial" w:cs="Arial"/>
                <w:b/>
              </w:rPr>
            </w:pPr>
            <w:r>
              <w:rPr>
                <w:rFonts w:ascii="Arial" w:hAnsi="Arial" w:cs="Arial"/>
                <w:b/>
              </w:rPr>
              <w:t>1</w:t>
            </w:r>
            <w:r w:rsidR="00995A30">
              <w:rPr>
                <w:rFonts w:ascii="Arial" w:hAnsi="Arial" w:cs="Arial"/>
                <w:b/>
              </w:rPr>
              <w:t>3</w:t>
            </w:r>
          </w:p>
        </w:tc>
      </w:tr>
      <w:tr w:rsidR="00024164" w:rsidRPr="00403D69" w14:paraId="1E9F7973" w14:textId="77777777" w:rsidTr="00024164">
        <w:trPr>
          <w:trHeight w:val="20"/>
        </w:trPr>
        <w:tc>
          <w:tcPr>
            <w:tcW w:w="4439" w:type="pct"/>
            <w:shd w:val="clear" w:color="auto" w:fill="auto"/>
          </w:tcPr>
          <w:p w14:paraId="71FE499F" w14:textId="77777777" w:rsidR="00024164" w:rsidRPr="001B3167" w:rsidRDefault="00024164" w:rsidP="00034220">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35B3F7D" w14:textId="2D76B132" w:rsidR="00024164" w:rsidRPr="00403D69" w:rsidRDefault="00024164" w:rsidP="00024164">
            <w:pPr>
              <w:spacing w:line="360" w:lineRule="auto"/>
              <w:jc w:val="center"/>
              <w:rPr>
                <w:rFonts w:ascii="Arial" w:hAnsi="Arial" w:cs="Arial"/>
                <w:b/>
              </w:rPr>
            </w:pPr>
            <w:r w:rsidRPr="001B3167">
              <w:rPr>
                <w:rFonts w:ascii="Arial" w:hAnsi="Arial" w:cs="Arial"/>
                <w:b/>
              </w:rPr>
              <w:t>1</w:t>
            </w:r>
            <w:r w:rsidR="00995A30">
              <w:rPr>
                <w:rFonts w:ascii="Arial" w:hAnsi="Arial" w:cs="Arial"/>
                <w:b/>
              </w:rPr>
              <w:t>3</w:t>
            </w:r>
          </w:p>
        </w:tc>
      </w:tr>
      <w:tr w:rsidR="00BE3D4F" w:rsidRPr="00403D69" w14:paraId="5FB581A0" w14:textId="77777777" w:rsidTr="00024164">
        <w:trPr>
          <w:trHeight w:val="20"/>
        </w:trPr>
        <w:tc>
          <w:tcPr>
            <w:tcW w:w="4439" w:type="pct"/>
            <w:shd w:val="clear" w:color="auto" w:fill="auto"/>
          </w:tcPr>
          <w:p w14:paraId="199E0EA9" w14:textId="4DD286F4" w:rsidR="00BE3D4F" w:rsidRPr="00421D4B" w:rsidRDefault="00BE3D4F" w:rsidP="00034220">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Resumen General de Observaciones y Solventaciones en Materia Financiera</w:t>
            </w:r>
          </w:p>
        </w:tc>
        <w:tc>
          <w:tcPr>
            <w:tcW w:w="561" w:type="pct"/>
            <w:shd w:val="clear" w:color="auto" w:fill="auto"/>
          </w:tcPr>
          <w:p w14:paraId="5FA5337F" w14:textId="4E9B6717" w:rsidR="00BE3D4F" w:rsidRPr="001B3167" w:rsidRDefault="0017580B" w:rsidP="00024164">
            <w:pPr>
              <w:spacing w:line="360" w:lineRule="auto"/>
              <w:jc w:val="center"/>
              <w:rPr>
                <w:rFonts w:ascii="Arial" w:hAnsi="Arial" w:cs="Arial"/>
                <w:b/>
              </w:rPr>
            </w:pPr>
            <w:r>
              <w:rPr>
                <w:rFonts w:ascii="Arial" w:hAnsi="Arial" w:cs="Arial"/>
                <w:b/>
              </w:rPr>
              <w:t>1</w:t>
            </w:r>
            <w:r w:rsidR="00995A30">
              <w:rPr>
                <w:rFonts w:ascii="Arial" w:hAnsi="Arial" w:cs="Arial"/>
                <w:b/>
              </w:rPr>
              <w:t>5</w:t>
            </w:r>
          </w:p>
        </w:tc>
      </w:tr>
      <w:tr w:rsidR="00024164" w:rsidRPr="00403D69" w14:paraId="65A5C8F7" w14:textId="77777777" w:rsidTr="00024164">
        <w:trPr>
          <w:trHeight w:val="667"/>
        </w:trPr>
        <w:tc>
          <w:tcPr>
            <w:tcW w:w="4439" w:type="pct"/>
            <w:shd w:val="clear" w:color="auto" w:fill="auto"/>
          </w:tcPr>
          <w:p w14:paraId="5BF4B0DA" w14:textId="78E8A0E7" w:rsidR="00024164" w:rsidRDefault="00024164" w:rsidP="00024164">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553176C2" w14:textId="77777777" w:rsidR="00024164" w:rsidRPr="00403D69" w:rsidRDefault="00024164" w:rsidP="00024164">
            <w:pPr>
              <w:spacing w:line="360" w:lineRule="auto"/>
              <w:jc w:val="center"/>
              <w:rPr>
                <w:rFonts w:ascii="Arial" w:hAnsi="Arial" w:cs="Arial"/>
                <w:b/>
              </w:rPr>
            </w:pPr>
          </w:p>
        </w:tc>
      </w:tr>
      <w:tr w:rsidR="00024164" w:rsidRPr="00403D69" w14:paraId="29DED389" w14:textId="77777777" w:rsidTr="00024164">
        <w:trPr>
          <w:trHeight w:val="690"/>
        </w:trPr>
        <w:tc>
          <w:tcPr>
            <w:tcW w:w="4439" w:type="pct"/>
            <w:shd w:val="clear" w:color="auto" w:fill="auto"/>
          </w:tcPr>
          <w:p w14:paraId="241B996D" w14:textId="77777777" w:rsidR="00024164" w:rsidRDefault="00024164" w:rsidP="00024164">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51D9C170" w14:textId="2E975C50" w:rsidR="00024164" w:rsidRPr="00403D69" w:rsidRDefault="00024164" w:rsidP="0017580B">
            <w:pPr>
              <w:spacing w:line="360" w:lineRule="auto"/>
              <w:jc w:val="center"/>
              <w:rPr>
                <w:rFonts w:ascii="Arial" w:hAnsi="Arial" w:cs="Arial"/>
                <w:b/>
              </w:rPr>
            </w:pPr>
            <w:r>
              <w:rPr>
                <w:rFonts w:ascii="Arial" w:hAnsi="Arial" w:cs="Arial"/>
                <w:b/>
              </w:rPr>
              <w:t>1</w:t>
            </w:r>
            <w:r w:rsidR="00995A30">
              <w:rPr>
                <w:rFonts w:ascii="Arial" w:hAnsi="Arial" w:cs="Arial"/>
                <w:b/>
              </w:rPr>
              <w:t>6</w:t>
            </w:r>
          </w:p>
        </w:tc>
      </w:tr>
      <w:tr w:rsidR="00024164" w:rsidRPr="00403D69" w14:paraId="4E051760" w14:textId="77777777" w:rsidTr="00024164">
        <w:trPr>
          <w:trHeight w:val="572"/>
        </w:trPr>
        <w:tc>
          <w:tcPr>
            <w:tcW w:w="4439" w:type="pct"/>
            <w:shd w:val="clear" w:color="auto" w:fill="auto"/>
          </w:tcPr>
          <w:p w14:paraId="6465ED2F"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54909AE" w14:textId="741802D1" w:rsidR="00024164" w:rsidRPr="00403D69" w:rsidRDefault="00024164" w:rsidP="0017580B">
            <w:pPr>
              <w:spacing w:line="360" w:lineRule="auto"/>
              <w:jc w:val="center"/>
              <w:rPr>
                <w:rFonts w:ascii="Arial" w:hAnsi="Arial" w:cs="Arial"/>
                <w:b/>
              </w:rPr>
            </w:pPr>
            <w:r>
              <w:rPr>
                <w:rFonts w:ascii="Arial" w:hAnsi="Arial" w:cs="Arial"/>
                <w:b/>
              </w:rPr>
              <w:t>1</w:t>
            </w:r>
            <w:r w:rsidR="00995A30">
              <w:rPr>
                <w:rFonts w:ascii="Arial" w:hAnsi="Arial" w:cs="Arial"/>
                <w:b/>
              </w:rPr>
              <w:t>6</w:t>
            </w:r>
          </w:p>
        </w:tc>
      </w:tr>
      <w:tr w:rsidR="00024164" w:rsidRPr="00403D69" w14:paraId="31F8D5AC" w14:textId="77777777" w:rsidTr="00024164">
        <w:trPr>
          <w:trHeight w:val="566"/>
        </w:trPr>
        <w:tc>
          <w:tcPr>
            <w:tcW w:w="4439" w:type="pct"/>
            <w:shd w:val="clear" w:color="auto" w:fill="auto"/>
          </w:tcPr>
          <w:p w14:paraId="345E9C6F" w14:textId="77777777" w:rsidR="00024164" w:rsidRPr="00B60639" w:rsidRDefault="00024164" w:rsidP="00024164">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2CA43102" w14:textId="79855AE9" w:rsidR="00024164" w:rsidRPr="00403D69" w:rsidRDefault="00024164" w:rsidP="0017580B">
            <w:pPr>
              <w:spacing w:line="360" w:lineRule="auto"/>
              <w:jc w:val="center"/>
              <w:rPr>
                <w:rFonts w:ascii="Arial" w:hAnsi="Arial" w:cs="Arial"/>
                <w:b/>
              </w:rPr>
            </w:pPr>
            <w:r>
              <w:rPr>
                <w:rFonts w:ascii="Arial" w:hAnsi="Arial" w:cs="Arial"/>
                <w:b/>
              </w:rPr>
              <w:t>1</w:t>
            </w:r>
            <w:r w:rsidR="00995A30">
              <w:rPr>
                <w:rFonts w:ascii="Arial" w:hAnsi="Arial" w:cs="Arial"/>
                <w:b/>
              </w:rPr>
              <w:t>6</w:t>
            </w:r>
          </w:p>
        </w:tc>
      </w:tr>
      <w:tr w:rsidR="00024164" w:rsidRPr="00403D69" w14:paraId="36E54487" w14:textId="77777777" w:rsidTr="00024164">
        <w:trPr>
          <w:trHeight w:val="560"/>
        </w:trPr>
        <w:tc>
          <w:tcPr>
            <w:tcW w:w="4439" w:type="pct"/>
            <w:shd w:val="clear" w:color="auto" w:fill="auto"/>
          </w:tcPr>
          <w:p w14:paraId="3229E6F3" w14:textId="77777777" w:rsidR="00024164" w:rsidRDefault="00024164" w:rsidP="00024164">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0C8DCC5A" w14:textId="61B8A1CC" w:rsidR="00024164" w:rsidRPr="00403D69" w:rsidRDefault="00024164" w:rsidP="0017580B">
            <w:pPr>
              <w:spacing w:line="360" w:lineRule="auto"/>
              <w:jc w:val="center"/>
              <w:rPr>
                <w:rFonts w:ascii="Arial" w:hAnsi="Arial" w:cs="Arial"/>
                <w:b/>
              </w:rPr>
            </w:pPr>
            <w:r>
              <w:rPr>
                <w:rFonts w:ascii="Arial" w:hAnsi="Arial" w:cs="Arial"/>
                <w:b/>
              </w:rPr>
              <w:t>1</w:t>
            </w:r>
            <w:r w:rsidR="00995A30">
              <w:rPr>
                <w:rFonts w:ascii="Arial" w:hAnsi="Arial" w:cs="Arial"/>
                <w:b/>
              </w:rPr>
              <w:t>6</w:t>
            </w:r>
          </w:p>
        </w:tc>
      </w:tr>
      <w:tr w:rsidR="00024164" w:rsidRPr="00403D69" w14:paraId="140623C8" w14:textId="77777777" w:rsidTr="00024164">
        <w:trPr>
          <w:trHeight w:val="575"/>
        </w:trPr>
        <w:tc>
          <w:tcPr>
            <w:tcW w:w="4439" w:type="pct"/>
            <w:shd w:val="clear" w:color="auto" w:fill="auto"/>
          </w:tcPr>
          <w:p w14:paraId="1482D2DA" w14:textId="77777777" w:rsidR="00024164" w:rsidRDefault="00024164" w:rsidP="00024164">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79DFA692" w14:textId="455293BD" w:rsidR="00024164" w:rsidRPr="00403D69" w:rsidRDefault="00024164" w:rsidP="0017580B">
            <w:pPr>
              <w:spacing w:line="360" w:lineRule="auto"/>
              <w:jc w:val="center"/>
              <w:rPr>
                <w:rFonts w:ascii="Arial" w:hAnsi="Arial" w:cs="Arial"/>
                <w:b/>
              </w:rPr>
            </w:pPr>
            <w:r>
              <w:rPr>
                <w:rFonts w:ascii="Arial" w:hAnsi="Arial" w:cs="Arial"/>
                <w:b/>
              </w:rPr>
              <w:t>1</w:t>
            </w:r>
            <w:r w:rsidR="00995A30">
              <w:rPr>
                <w:rFonts w:ascii="Arial" w:hAnsi="Arial" w:cs="Arial"/>
                <w:b/>
              </w:rPr>
              <w:t>7</w:t>
            </w:r>
          </w:p>
        </w:tc>
      </w:tr>
      <w:tr w:rsidR="00024164" w:rsidRPr="00403D69" w14:paraId="4B3F7C92" w14:textId="77777777" w:rsidTr="00024164">
        <w:trPr>
          <w:trHeight w:val="575"/>
        </w:trPr>
        <w:tc>
          <w:tcPr>
            <w:tcW w:w="4439" w:type="pct"/>
            <w:shd w:val="clear" w:color="auto" w:fill="auto"/>
          </w:tcPr>
          <w:p w14:paraId="4A976322" w14:textId="77777777" w:rsidR="00024164" w:rsidRPr="00403D69" w:rsidRDefault="00024164" w:rsidP="00024164">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2CC2E106" w14:textId="235DCDB5" w:rsidR="00024164" w:rsidRDefault="00995A30" w:rsidP="00024164">
            <w:pPr>
              <w:spacing w:line="360" w:lineRule="auto"/>
              <w:jc w:val="center"/>
              <w:rPr>
                <w:rFonts w:ascii="Arial" w:hAnsi="Arial" w:cs="Arial"/>
                <w:b/>
              </w:rPr>
            </w:pPr>
            <w:r>
              <w:rPr>
                <w:rFonts w:ascii="Arial" w:hAnsi="Arial" w:cs="Arial"/>
                <w:b/>
              </w:rPr>
              <w:t>18</w:t>
            </w:r>
          </w:p>
        </w:tc>
      </w:tr>
      <w:tr w:rsidR="00024164" w:rsidRPr="00403D69" w14:paraId="1B6BB37C" w14:textId="77777777" w:rsidTr="00024164">
        <w:trPr>
          <w:trHeight w:val="568"/>
        </w:trPr>
        <w:tc>
          <w:tcPr>
            <w:tcW w:w="4439" w:type="pct"/>
            <w:shd w:val="clear" w:color="auto" w:fill="auto"/>
          </w:tcPr>
          <w:p w14:paraId="5D9ABB43" w14:textId="77777777" w:rsidR="00024164" w:rsidRDefault="00024164" w:rsidP="00024164">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40EEB75" w14:textId="2B02DB00" w:rsidR="00024164" w:rsidRPr="00403D69" w:rsidRDefault="00995A30" w:rsidP="00024164">
            <w:pPr>
              <w:spacing w:line="360" w:lineRule="auto"/>
              <w:jc w:val="center"/>
              <w:rPr>
                <w:rFonts w:ascii="Arial" w:hAnsi="Arial" w:cs="Arial"/>
                <w:b/>
              </w:rPr>
            </w:pPr>
            <w:r>
              <w:rPr>
                <w:rFonts w:ascii="Arial" w:hAnsi="Arial" w:cs="Arial"/>
                <w:b/>
              </w:rPr>
              <w:t>18</w:t>
            </w:r>
          </w:p>
        </w:tc>
      </w:tr>
      <w:tr w:rsidR="00024164" w:rsidRPr="00403D69" w14:paraId="27B6CCCF" w14:textId="77777777" w:rsidTr="00024164">
        <w:trPr>
          <w:trHeight w:val="563"/>
        </w:trPr>
        <w:tc>
          <w:tcPr>
            <w:tcW w:w="4439" w:type="pct"/>
            <w:shd w:val="clear" w:color="auto" w:fill="auto"/>
          </w:tcPr>
          <w:p w14:paraId="0DD15692" w14:textId="77777777" w:rsidR="00024164" w:rsidRPr="000657CD" w:rsidRDefault="00024164" w:rsidP="00024164">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2F2CD32" w14:textId="445FE886" w:rsidR="00024164" w:rsidRPr="00403D69" w:rsidRDefault="0017580B" w:rsidP="00024164">
            <w:pPr>
              <w:spacing w:line="360" w:lineRule="auto"/>
              <w:jc w:val="center"/>
              <w:rPr>
                <w:rFonts w:ascii="Arial" w:hAnsi="Arial" w:cs="Arial"/>
                <w:b/>
              </w:rPr>
            </w:pPr>
            <w:r>
              <w:rPr>
                <w:rFonts w:ascii="Arial" w:hAnsi="Arial" w:cs="Arial"/>
                <w:b/>
              </w:rPr>
              <w:t>2</w:t>
            </w:r>
            <w:r w:rsidR="00995A30">
              <w:rPr>
                <w:rFonts w:ascii="Arial" w:hAnsi="Arial" w:cs="Arial"/>
                <w:b/>
              </w:rPr>
              <w:t>1</w:t>
            </w:r>
          </w:p>
        </w:tc>
      </w:tr>
      <w:tr w:rsidR="00024164" w:rsidRPr="00403D69" w14:paraId="07298D45" w14:textId="77777777" w:rsidTr="00024164">
        <w:trPr>
          <w:trHeight w:val="557"/>
        </w:trPr>
        <w:tc>
          <w:tcPr>
            <w:tcW w:w="4439" w:type="pct"/>
            <w:shd w:val="clear" w:color="auto" w:fill="auto"/>
          </w:tcPr>
          <w:p w14:paraId="2ADBEC47" w14:textId="77777777" w:rsidR="00024164" w:rsidRPr="001B3167" w:rsidRDefault="00024164" w:rsidP="00024164">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520439C8" w14:textId="61F7DFB4" w:rsidR="00024164" w:rsidRPr="00403D69" w:rsidRDefault="0017580B" w:rsidP="00024164">
            <w:pPr>
              <w:spacing w:line="360" w:lineRule="auto"/>
              <w:jc w:val="center"/>
              <w:rPr>
                <w:rFonts w:ascii="Arial" w:hAnsi="Arial" w:cs="Arial"/>
                <w:b/>
              </w:rPr>
            </w:pPr>
            <w:r>
              <w:rPr>
                <w:rFonts w:ascii="Arial" w:hAnsi="Arial" w:cs="Arial"/>
                <w:b/>
              </w:rPr>
              <w:t>2</w:t>
            </w:r>
            <w:r w:rsidR="00995A30">
              <w:rPr>
                <w:rFonts w:ascii="Arial" w:hAnsi="Arial" w:cs="Arial"/>
                <w:b/>
              </w:rPr>
              <w:t>2</w:t>
            </w:r>
          </w:p>
        </w:tc>
      </w:tr>
      <w:tr w:rsidR="00024164" w:rsidRPr="00403D69" w14:paraId="0B7938B2" w14:textId="77777777" w:rsidTr="00024164">
        <w:trPr>
          <w:trHeight w:val="578"/>
        </w:trPr>
        <w:tc>
          <w:tcPr>
            <w:tcW w:w="4439" w:type="pct"/>
            <w:shd w:val="clear" w:color="auto" w:fill="auto"/>
          </w:tcPr>
          <w:p w14:paraId="601D3AD9"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C678C2B" w14:textId="14FEAF67" w:rsidR="00024164" w:rsidRPr="00403D69" w:rsidRDefault="0017580B" w:rsidP="00024164">
            <w:pPr>
              <w:spacing w:line="360" w:lineRule="auto"/>
              <w:jc w:val="center"/>
              <w:rPr>
                <w:rFonts w:ascii="Arial" w:hAnsi="Arial" w:cs="Arial"/>
                <w:b/>
              </w:rPr>
            </w:pPr>
            <w:r>
              <w:rPr>
                <w:rFonts w:ascii="Arial" w:hAnsi="Arial" w:cs="Arial"/>
                <w:b/>
              </w:rPr>
              <w:t>2</w:t>
            </w:r>
            <w:r w:rsidR="00995A30">
              <w:rPr>
                <w:rFonts w:ascii="Arial" w:hAnsi="Arial" w:cs="Arial"/>
                <w:b/>
              </w:rPr>
              <w:t>2</w:t>
            </w:r>
          </w:p>
        </w:tc>
      </w:tr>
      <w:tr w:rsidR="00024164" w:rsidRPr="00403D69" w14:paraId="3B313F8B" w14:textId="77777777" w:rsidTr="00024164">
        <w:trPr>
          <w:trHeight w:val="572"/>
        </w:trPr>
        <w:tc>
          <w:tcPr>
            <w:tcW w:w="4439" w:type="pct"/>
            <w:shd w:val="clear" w:color="auto" w:fill="auto"/>
          </w:tcPr>
          <w:p w14:paraId="4480CDCB" w14:textId="77777777" w:rsidR="00024164" w:rsidRDefault="00024164" w:rsidP="00024164">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1C63C961" w14:textId="28A9426C" w:rsidR="00024164" w:rsidRPr="00403D69" w:rsidRDefault="0017580B" w:rsidP="00024164">
            <w:pPr>
              <w:spacing w:line="360" w:lineRule="auto"/>
              <w:jc w:val="center"/>
              <w:rPr>
                <w:rFonts w:ascii="Arial" w:hAnsi="Arial" w:cs="Arial"/>
                <w:b/>
              </w:rPr>
            </w:pPr>
            <w:r>
              <w:rPr>
                <w:rFonts w:ascii="Arial" w:hAnsi="Arial" w:cs="Arial"/>
                <w:b/>
              </w:rPr>
              <w:t>2</w:t>
            </w:r>
            <w:r w:rsidR="00995A30">
              <w:rPr>
                <w:rFonts w:ascii="Arial" w:hAnsi="Arial" w:cs="Arial"/>
                <w:b/>
              </w:rPr>
              <w:t>2</w:t>
            </w:r>
          </w:p>
        </w:tc>
      </w:tr>
      <w:tr w:rsidR="00024164" w:rsidRPr="001B3167" w14:paraId="57AA664B" w14:textId="77777777" w:rsidTr="00024164">
        <w:trPr>
          <w:trHeight w:val="20"/>
        </w:trPr>
        <w:tc>
          <w:tcPr>
            <w:tcW w:w="4439" w:type="pct"/>
            <w:shd w:val="clear" w:color="auto" w:fill="auto"/>
          </w:tcPr>
          <w:p w14:paraId="6B5F7EE7" w14:textId="77777777" w:rsidR="00024164" w:rsidRPr="001B3167" w:rsidRDefault="00024164" w:rsidP="00034220">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99441BA" w14:textId="3A50477B" w:rsidR="00024164" w:rsidRPr="001B3167" w:rsidRDefault="0017580B" w:rsidP="00024164">
            <w:pPr>
              <w:spacing w:line="360" w:lineRule="auto"/>
              <w:jc w:val="center"/>
              <w:rPr>
                <w:rFonts w:ascii="Arial" w:hAnsi="Arial" w:cs="Arial"/>
                <w:b/>
              </w:rPr>
            </w:pPr>
            <w:r>
              <w:rPr>
                <w:rFonts w:ascii="Arial" w:hAnsi="Arial" w:cs="Arial"/>
                <w:b/>
              </w:rPr>
              <w:t>2</w:t>
            </w:r>
            <w:r w:rsidR="00995A30">
              <w:rPr>
                <w:rFonts w:ascii="Arial" w:hAnsi="Arial" w:cs="Arial"/>
                <w:b/>
              </w:rPr>
              <w:t>3</w:t>
            </w:r>
          </w:p>
        </w:tc>
      </w:tr>
      <w:tr w:rsidR="00024164" w:rsidRPr="00403D69" w14:paraId="7FC05EA2" w14:textId="77777777" w:rsidTr="00024164">
        <w:trPr>
          <w:trHeight w:val="1261"/>
        </w:trPr>
        <w:tc>
          <w:tcPr>
            <w:tcW w:w="4439" w:type="pct"/>
            <w:shd w:val="clear" w:color="auto" w:fill="auto"/>
          </w:tcPr>
          <w:p w14:paraId="3F233066" w14:textId="77777777" w:rsidR="00024164" w:rsidRPr="001B3167" w:rsidRDefault="00024164" w:rsidP="00034220">
            <w:pPr>
              <w:pStyle w:val="Prrafodelista"/>
              <w:numPr>
                <w:ilvl w:val="0"/>
                <w:numId w:val="4"/>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14:paraId="44049B23" w14:textId="01E390A2" w:rsidR="00024164" w:rsidRPr="00403D69" w:rsidRDefault="0017580B" w:rsidP="00024164">
            <w:pPr>
              <w:spacing w:line="360" w:lineRule="auto"/>
              <w:jc w:val="center"/>
              <w:rPr>
                <w:rFonts w:ascii="Arial" w:hAnsi="Arial" w:cs="Arial"/>
                <w:b/>
              </w:rPr>
            </w:pPr>
            <w:r>
              <w:rPr>
                <w:rFonts w:ascii="Arial" w:hAnsi="Arial" w:cs="Arial"/>
                <w:b/>
              </w:rPr>
              <w:t>2</w:t>
            </w:r>
            <w:r w:rsidR="00995A30">
              <w:rPr>
                <w:rFonts w:ascii="Arial" w:hAnsi="Arial" w:cs="Arial"/>
                <w:b/>
              </w:rPr>
              <w:t>4</w:t>
            </w:r>
          </w:p>
        </w:tc>
      </w:tr>
      <w:tr w:rsidR="00024164" w:rsidRPr="00403D69" w14:paraId="69F4CB8C" w14:textId="77777777" w:rsidTr="00024164">
        <w:trPr>
          <w:trHeight w:val="469"/>
        </w:trPr>
        <w:tc>
          <w:tcPr>
            <w:tcW w:w="4439" w:type="pct"/>
            <w:shd w:val="clear" w:color="auto" w:fill="auto"/>
          </w:tcPr>
          <w:p w14:paraId="31B47023" w14:textId="0DE4A454" w:rsidR="00024164" w:rsidRPr="00032EC2" w:rsidRDefault="00024164" w:rsidP="00024164">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w:t>
            </w:r>
            <w:r>
              <w:rPr>
                <w:rFonts w:ascii="Arial" w:hAnsi="Arial" w:cs="Arial"/>
                <w:b/>
                <w:bCs/>
              </w:rPr>
              <w:t>ES DE AUDITORÍA</w:t>
            </w:r>
          </w:p>
        </w:tc>
        <w:tc>
          <w:tcPr>
            <w:tcW w:w="561" w:type="pct"/>
            <w:shd w:val="clear" w:color="auto" w:fill="auto"/>
          </w:tcPr>
          <w:p w14:paraId="723EB00D" w14:textId="61538CF8" w:rsidR="00024164" w:rsidRPr="00BF5F84" w:rsidRDefault="00024164" w:rsidP="00024164">
            <w:pPr>
              <w:jc w:val="center"/>
              <w:rPr>
                <w:rFonts w:ascii="Arial" w:hAnsi="Arial" w:cs="Arial"/>
                <w:b/>
              </w:rPr>
            </w:pPr>
            <w:r>
              <w:rPr>
                <w:rFonts w:ascii="Arial" w:hAnsi="Arial" w:cs="Arial"/>
                <w:b/>
              </w:rPr>
              <w:t>2</w:t>
            </w:r>
            <w:r w:rsidR="00386BC3">
              <w:rPr>
                <w:rFonts w:ascii="Arial" w:hAnsi="Arial" w:cs="Arial"/>
                <w:b/>
              </w:rPr>
              <w:t>5</w:t>
            </w:r>
          </w:p>
        </w:tc>
      </w:tr>
      <w:tr w:rsidR="00024164" w:rsidRPr="00421D4B" w14:paraId="0BF37484" w14:textId="77777777" w:rsidTr="00024164">
        <w:trPr>
          <w:trHeight w:val="469"/>
        </w:trPr>
        <w:tc>
          <w:tcPr>
            <w:tcW w:w="4439" w:type="pct"/>
            <w:shd w:val="clear" w:color="auto" w:fill="auto"/>
          </w:tcPr>
          <w:p w14:paraId="5CA883F0" w14:textId="77777777" w:rsidR="00024164" w:rsidRPr="00421D4B" w:rsidRDefault="00024164" w:rsidP="00024164">
            <w:pPr>
              <w:rPr>
                <w:rFonts w:ascii="Arial" w:hAnsi="Arial" w:cs="Arial"/>
                <w:b/>
                <w:bCs/>
              </w:rPr>
            </w:pPr>
          </w:p>
          <w:p w14:paraId="23FA8201" w14:textId="12A88728" w:rsidR="00024164" w:rsidRPr="00421D4B" w:rsidRDefault="00024164" w:rsidP="00024164">
            <w:pPr>
              <w:spacing w:line="360" w:lineRule="auto"/>
              <w:jc w:val="both"/>
              <w:rPr>
                <w:rFonts w:ascii="Arial" w:hAnsi="Arial" w:cs="Arial"/>
                <w:b/>
                <w:bCs/>
              </w:rPr>
            </w:pPr>
          </w:p>
        </w:tc>
        <w:tc>
          <w:tcPr>
            <w:tcW w:w="561" w:type="pct"/>
            <w:shd w:val="clear" w:color="auto" w:fill="auto"/>
          </w:tcPr>
          <w:p w14:paraId="5C5A36C1" w14:textId="77777777" w:rsidR="00024164" w:rsidRPr="00421D4B" w:rsidRDefault="00024164" w:rsidP="00024164">
            <w:pPr>
              <w:jc w:val="center"/>
              <w:rPr>
                <w:rFonts w:ascii="Arial" w:hAnsi="Arial" w:cs="Arial"/>
                <w:b/>
                <w:bCs/>
              </w:rPr>
            </w:pPr>
          </w:p>
        </w:tc>
      </w:tr>
    </w:tbl>
    <w:p w14:paraId="6DDB065B" w14:textId="2586642B" w:rsidR="00EA75CB" w:rsidRDefault="00EA75CB" w:rsidP="00B93F1F">
      <w:pPr>
        <w:spacing w:line="360" w:lineRule="auto"/>
        <w:ind w:right="190"/>
        <w:rPr>
          <w:rFonts w:ascii="Arial" w:hAnsi="Arial" w:cs="Arial"/>
          <w:b/>
          <w:bCs/>
        </w:rPr>
      </w:pPr>
    </w:p>
    <w:p w14:paraId="3754B207" w14:textId="77777777" w:rsidR="00235244" w:rsidRDefault="00235244" w:rsidP="00235244">
      <w:pPr>
        <w:spacing w:line="360" w:lineRule="auto"/>
        <w:ind w:right="190"/>
        <w:rPr>
          <w:rFonts w:ascii="Arial" w:hAnsi="Arial" w:cs="Arial"/>
          <w:b/>
          <w:bCs/>
        </w:rPr>
      </w:pPr>
      <w:r w:rsidRPr="00A05588">
        <w:rPr>
          <w:rFonts w:ascii="Arial" w:hAnsi="Arial" w:cs="Arial"/>
          <w:b/>
          <w:bCs/>
        </w:rPr>
        <w:lastRenderedPageBreak/>
        <w:t>INTRODUCCIÓN</w:t>
      </w:r>
    </w:p>
    <w:p w14:paraId="473E8598" w14:textId="77777777" w:rsidR="00235244" w:rsidRPr="00452319" w:rsidRDefault="00235244" w:rsidP="00235244">
      <w:pPr>
        <w:spacing w:line="360" w:lineRule="auto"/>
        <w:ind w:right="190"/>
        <w:rPr>
          <w:rFonts w:ascii="Arial" w:hAnsi="Arial" w:cs="Arial"/>
          <w:b/>
          <w:bCs/>
          <w:sz w:val="20"/>
          <w:szCs w:val="20"/>
        </w:rPr>
      </w:pPr>
    </w:p>
    <w:p w14:paraId="4497E3E5" w14:textId="3BB7121E" w:rsidR="00235244" w:rsidRDefault="00235244" w:rsidP="00235244">
      <w:pPr>
        <w:spacing w:line="360" w:lineRule="auto"/>
        <w:ind w:right="190"/>
        <w:jc w:val="both"/>
        <w:rPr>
          <w:rFonts w:ascii="Arial" w:hAnsi="Arial" w:cs="Arial"/>
        </w:rPr>
      </w:pPr>
      <w:r w:rsidRPr="00A05588">
        <w:rPr>
          <w:rFonts w:ascii="Arial" w:hAnsi="Arial" w:cs="Arial"/>
        </w:rPr>
        <w:t xml:space="preserve">Por disposición contenida </w:t>
      </w:r>
      <w:r w:rsidRPr="008B31A9">
        <w:rPr>
          <w:rFonts w:ascii="Arial" w:hAnsi="Arial" w:cs="Arial"/>
        </w:rPr>
        <w:t>en los 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00BE3D4F">
        <w:rPr>
          <w:rFonts w:ascii="Arial" w:hAnsi="Arial" w:cs="Arial"/>
          <w:b/>
        </w:rPr>
        <w:t>Instituto de Movilidad del Estado de Quintana Roo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120EB391" w14:textId="77777777" w:rsidR="00235244" w:rsidRPr="00452319" w:rsidRDefault="00235244" w:rsidP="00235244">
      <w:pPr>
        <w:spacing w:line="360" w:lineRule="auto"/>
        <w:ind w:right="190"/>
        <w:jc w:val="both"/>
        <w:rPr>
          <w:rFonts w:ascii="Arial" w:hAnsi="Arial" w:cs="Arial"/>
          <w:sz w:val="20"/>
          <w:szCs w:val="20"/>
        </w:rPr>
      </w:pPr>
    </w:p>
    <w:p w14:paraId="590B8051" w14:textId="77777777" w:rsidR="00235244" w:rsidRPr="002013D4" w:rsidRDefault="00235244" w:rsidP="00235244">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29467792" w14:textId="77777777" w:rsidR="00235244" w:rsidRPr="00452319" w:rsidRDefault="00235244" w:rsidP="00235244">
      <w:pPr>
        <w:spacing w:line="360" w:lineRule="auto"/>
        <w:ind w:right="190"/>
        <w:jc w:val="both"/>
        <w:rPr>
          <w:rFonts w:ascii="Arial" w:hAnsi="Arial" w:cs="Arial"/>
          <w:sz w:val="20"/>
          <w:szCs w:val="20"/>
        </w:rPr>
      </w:pPr>
    </w:p>
    <w:p w14:paraId="0F65F535" w14:textId="7B3CED76" w:rsidR="00235244" w:rsidRPr="00971AFA" w:rsidRDefault="00235244" w:rsidP="00235244">
      <w:pPr>
        <w:spacing w:line="360" w:lineRule="auto"/>
        <w:ind w:right="190"/>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l</w:t>
      </w:r>
      <w:r w:rsidRPr="002013D4">
        <w:rPr>
          <w:rFonts w:ascii="Arial" w:hAnsi="Arial" w:cs="Arial"/>
          <w:bCs/>
        </w:rPr>
        <w:t xml:space="preserve"> </w:t>
      </w:r>
      <w:r w:rsidR="00BE3D4F">
        <w:rPr>
          <w:rFonts w:ascii="Arial" w:hAnsi="Arial" w:cs="Arial"/>
          <w:b/>
        </w:rPr>
        <w:t>Instituto de Movilidad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557CAB93" w14:textId="77777777" w:rsidR="00235244" w:rsidRPr="00452319" w:rsidRDefault="00235244" w:rsidP="00235244">
      <w:pPr>
        <w:spacing w:line="360" w:lineRule="auto"/>
        <w:ind w:right="190"/>
        <w:jc w:val="both"/>
        <w:rPr>
          <w:rFonts w:ascii="Arial" w:hAnsi="Arial" w:cs="Arial"/>
          <w:bCs/>
          <w:sz w:val="20"/>
          <w:szCs w:val="20"/>
        </w:rPr>
      </w:pPr>
    </w:p>
    <w:p w14:paraId="2ACEFE85" w14:textId="11748984" w:rsidR="00235244" w:rsidRPr="00A05588" w:rsidRDefault="00235244" w:rsidP="00235244">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00BE3D4F">
        <w:rPr>
          <w:rFonts w:ascii="Arial" w:hAnsi="Arial" w:cs="Arial"/>
          <w:b/>
        </w:rPr>
        <w:t>Instituto de Movilidad del Estado de Quintana Roo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2020</w:t>
      </w:r>
      <w:r w:rsidRPr="009879F6">
        <w:rPr>
          <w:rFonts w:ascii="Arial" w:hAnsi="Arial" w:cs="Arial"/>
          <w:bCs/>
        </w:rPr>
        <w:t xml:space="preserve">, así como las principales políticas financieras, económicas y sociales que influyeron </w:t>
      </w:r>
      <w:r w:rsidRPr="00E56219">
        <w:rPr>
          <w:rFonts w:ascii="Arial" w:hAnsi="Arial" w:cs="Arial"/>
          <w:bCs/>
        </w:rPr>
        <w:t xml:space="preserve">en el resultado de los </w:t>
      </w:r>
      <w:r w:rsidRPr="004A24A9">
        <w:rPr>
          <w:rFonts w:ascii="Arial" w:hAnsi="Arial" w:cs="Arial"/>
          <w:bCs/>
        </w:rPr>
        <w:t xml:space="preserve">ingresos recibidos y gastos efectuados </w:t>
      </w:r>
      <w:r w:rsidRPr="00E56219">
        <w:rPr>
          <w:rFonts w:ascii="Arial" w:hAnsi="Arial" w:cs="Arial"/>
          <w:bCs/>
        </w:rPr>
        <w:t>por la entidad</w:t>
      </w:r>
      <w:r w:rsidRPr="00BE426E">
        <w:rPr>
          <w:rFonts w:ascii="Arial" w:hAnsi="Arial" w:cs="Arial"/>
          <w:bCs/>
        </w:rPr>
        <w:t xml:space="preserve"> fiscalizada.</w:t>
      </w:r>
    </w:p>
    <w:p w14:paraId="6206FF2B" w14:textId="77777777" w:rsidR="00235244" w:rsidRPr="00452319" w:rsidRDefault="00235244" w:rsidP="00235244">
      <w:pPr>
        <w:spacing w:line="360" w:lineRule="auto"/>
        <w:ind w:right="190"/>
        <w:jc w:val="both"/>
        <w:rPr>
          <w:rFonts w:ascii="Arial" w:hAnsi="Arial" w:cs="Arial"/>
          <w:bCs/>
          <w:sz w:val="20"/>
          <w:szCs w:val="20"/>
        </w:rPr>
      </w:pPr>
    </w:p>
    <w:p w14:paraId="41780012" w14:textId="3F65AFE3" w:rsidR="00235244" w:rsidRDefault="00235244" w:rsidP="00235244">
      <w:pPr>
        <w:spacing w:line="360" w:lineRule="auto"/>
        <w:ind w:right="190"/>
        <w:jc w:val="both"/>
        <w:rPr>
          <w:rFonts w:ascii="Arial" w:hAnsi="Arial" w:cs="Arial"/>
          <w:b/>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w:t>
      </w:r>
      <w:r w:rsidRPr="009A59D7">
        <w:rPr>
          <w:rFonts w:ascii="Arial" w:hAnsi="Arial" w:cs="Arial"/>
          <w:bCs/>
        </w:rPr>
        <w:lastRenderedPageBreak/>
        <w:t>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actividad financiera-administrativa de</w:t>
      </w:r>
      <w:r>
        <w:rPr>
          <w:rFonts w:ascii="Arial" w:hAnsi="Arial" w:cs="Arial"/>
          <w:bCs/>
        </w:rPr>
        <w:t>l</w:t>
      </w:r>
      <w:r w:rsidRPr="009879F6">
        <w:rPr>
          <w:rFonts w:ascii="Arial" w:hAnsi="Arial" w:cs="Arial"/>
          <w:bCs/>
        </w:rPr>
        <w:t xml:space="preserve"> </w:t>
      </w:r>
      <w:r w:rsidR="00BE3D4F">
        <w:rPr>
          <w:rFonts w:ascii="Arial" w:hAnsi="Arial" w:cs="Arial"/>
          <w:b/>
        </w:rPr>
        <w:t>Instituto de Movilidad del Estado de Quintana Roo</w:t>
      </w:r>
      <w:r>
        <w:rPr>
          <w:rFonts w:ascii="Arial" w:hAnsi="Arial" w:cs="Arial"/>
          <w:b/>
        </w:rPr>
        <w:t>.</w:t>
      </w:r>
    </w:p>
    <w:p w14:paraId="33A77826" w14:textId="77777777" w:rsidR="00235244" w:rsidRPr="00452319" w:rsidRDefault="00235244" w:rsidP="00235244">
      <w:pPr>
        <w:spacing w:line="360" w:lineRule="auto"/>
        <w:ind w:right="190"/>
        <w:jc w:val="both"/>
        <w:rPr>
          <w:rFonts w:ascii="Arial" w:hAnsi="Arial" w:cs="Arial"/>
          <w:bCs/>
          <w:sz w:val="20"/>
          <w:szCs w:val="20"/>
        </w:rPr>
      </w:pPr>
    </w:p>
    <w:p w14:paraId="2C816406" w14:textId="09EA32D2" w:rsidR="00BE3D4F" w:rsidRPr="00E56219" w:rsidRDefault="00BE3D4F" w:rsidP="00BE3D4F">
      <w:pPr>
        <w:spacing w:line="360" w:lineRule="auto"/>
        <w:ind w:right="190"/>
        <w:jc w:val="both"/>
        <w:rPr>
          <w:rFonts w:ascii="Arial" w:hAnsi="Arial" w:cs="Arial"/>
        </w:rPr>
      </w:pPr>
      <w:r w:rsidRPr="00E56219">
        <w:rPr>
          <w:rFonts w:ascii="Arial" w:hAnsi="Arial" w:cs="Arial"/>
        </w:rPr>
        <w:t>En la Cuenta Pública de</w:t>
      </w:r>
      <w:r>
        <w:rPr>
          <w:rFonts w:ascii="Arial" w:hAnsi="Arial" w:cs="Arial"/>
        </w:rPr>
        <w:t>l</w:t>
      </w:r>
      <w:r w:rsidRPr="00E56219">
        <w:rPr>
          <w:rFonts w:ascii="Arial" w:hAnsi="Arial" w:cs="Arial"/>
        </w:rPr>
        <w:t xml:space="preserve"> </w:t>
      </w:r>
      <w:r>
        <w:rPr>
          <w:rFonts w:ascii="Arial" w:hAnsi="Arial" w:cs="Arial"/>
          <w:b/>
          <w:bCs/>
        </w:rPr>
        <w:t>Instituto de Movilidad del Estado de Quintana Roo</w:t>
      </w:r>
      <w:r>
        <w:rPr>
          <w:rFonts w:ascii="Arial" w:hAnsi="Arial" w:cs="Arial"/>
        </w:rPr>
        <w:t xml:space="preserve">, </w:t>
      </w:r>
      <w:r w:rsidRPr="00E56219">
        <w:rPr>
          <w:rFonts w:ascii="Arial" w:hAnsi="Arial" w:cs="Arial"/>
        </w:rPr>
        <w:t xml:space="preserve">correspondiente al ejercicio fiscal </w:t>
      </w:r>
      <w:r>
        <w:rPr>
          <w:rFonts w:ascii="Arial" w:hAnsi="Arial" w:cs="Arial"/>
        </w:rPr>
        <w:t>2020</w:t>
      </w:r>
      <w:r w:rsidRPr="00E56219">
        <w:rPr>
          <w:rFonts w:ascii="Arial" w:hAnsi="Arial" w:cs="Arial"/>
        </w:rPr>
        <w:t xml:space="preserve">, se encuentra reflejada la </w:t>
      </w:r>
      <w:r>
        <w:rPr>
          <w:rFonts w:ascii="Arial" w:hAnsi="Arial" w:cs="Arial"/>
        </w:rPr>
        <w:t>obtención de los ingresos y los gastos efectuados</w:t>
      </w:r>
      <w:r w:rsidRPr="00E56219">
        <w:rPr>
          <w:rFonts w:ascii="Arial" w:hAnsi="Arial" w:cs="Arial"/>
        </w:rPr>
        <w:t xml:space="preserve"> de</w:t>
      </w:r>
      <w:bookmarkStart w:id="4" w:name="_Hlk14174045"/>
      <w:r w:rsidRPr="00E56219">
        <w:rPr>
          <w:rFonts w:ascii="Arial" w:hAnsi="Arial" w:cs="Arial"/>
        </w:rPr>
        <w:t xml:space="preserve"> recursos</w:t>
      </w:r>
      <w:bookmarkEnd w:id="4"/>
      <w:r>
        <w:rPr>
          <w:rFonts w:ascii="Arial" w:hAnsi="Arial" w:cs="Arial"/>
        </w:rPr>
        <w:t xml:space="preserve"> estatales y propios</w:t>
      </w:r>
      <w:r w:rsidRPr="00E56219">
        <w:rPr>
          <w:rFonts w:ascii="Arial" w:hAnsi="Arial" w:cs="Arial"/>
        </w:rPr>
        <w:t>. La Cuenta Pública fue entregada a la Auditoría Superior del Estado</w:t>
      </w:r>
      <w:r w:rsidRPr="000A0088">
        <w:rPr>
          <w:rFonts w:ascii="Arial" w:hAnsi="Arial" w:cs="Arial"/>
        </w:rPr>
        <w:t xml:space="preserve">, en fecha </w:t>
      </w:r>
      <w:r w:rsidRPr="00C53049">
        <w:rPr>
          <w:rFonts w:ascii="Arial" w:hAnsi="Arial" w:cs="Arial"/>
        </w:rPr>
        <w:t xml:space="preserve">30 de abril de 2021, con oficio </w:t>
      </w:r>
      <w:r w:rsidR="00452319">
        <w:rPr>
          <w:rFonts w:ascii="Arial" w:hAnsi="Arial" w:cs="Arial"/>
        </w:rPr>
        <w:t>número</w:t>
      </w:r>
      <w:r w:rsidRPr="00C53049">
        <w:rPr>
          <w:rFonts w:ascii="Arial" w:hAnsi="Arial" w:cs="Arial"/>
        </w:rPr>
        <w:t xml:space="preserve"> IMOVEQROO/DG/DAF/SA/DCCPYCP/0985/2021.</w:t>
      </w:r>
    </w:p>
    <w:p w14:paraId="6A20B38D" w14:textId="77777777" w:rsidR="00235244" w:rsidRPr="00452319" w:rsidRDefault="00235244" w:rsidP="00235244">
      <w:pPr>
        <w:tabs>
          <w:tab w:val="left" w:pos="9498"/>
        </w:tabs>
        <w:spacing w:line="360" w:lineRule="auto"/>
        <w:ind w:right="190"/>
        <w:jc w:val="both"/>
        <w:rPr>
          <w:rFonts w:ascii="Arial" w:hAnsi="Arial" w:cs="Arial"/>
          <w:bCs/>
          <w:sz w:val="20"/>
          <w:szCs w:val="20"/>
        </w:rPr>
      </w:pPr>
    </w:p>
    <w:p w14:paraId="03952AC0" w14:textId="77777777" w:rsidR="00235244" w:rsidRPr="00980F59" w:rsidRDefault="00235244" w:rsidP="00235244">
      <w:pPr>
        <w:spacing w:line="360" w:lineRule="auto"/>
        <w:ind w:right="190"/>
        <w:jc w:val="both"/>
        <w:rPr>
          <w:rFonts w:ascii="Arial" w:hAnsi="Arial" w:cs="Arial"/>
          <w:bCs/>
        </w:rPr>
      </w:pPr>
      <w:r w:rsidRPr="00E5621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w:t>
      </w:r>
      <w:r w:rsidRPr="003D6AC4">
        <w:rPr>
          <w:rFonts w:ascii="Arial" w:hAnsi="Arial" w:cs="Arial"/>
          <w:bCs/>
        </w:rPr>
        <w:t>fecha 22 de enero de 2021</w:t>
      </w:r>
      <w:r>
        <w:rPr>
          <w:rFonts w:ascii="Arial" w:hAnsi="Arial" w:cs="Arial"/>
          <w:bCs/>
        </w:rPr>
        <w:t xml:space="preserve"> </w:t>
      </w:r>
      <w:r w:rsidRPr="00E56219">
        <w:rPr>
          <w:rFonts w:ascii="Arial" w:hAnsi="Arial" w:cs="Arial"/>
          <w:bCs/>
        </w:rPr>
        <w:t xml:space="preserve">mediante acuerdo administrativo, el Programa Anual de Auditorías, Visitas e Inspecciones (PAAVI), correspondiente al año </w:t>
      </w:r>
      <w:r>
        <w:rPr>
          <w:rFonts w:ascii="Arial" w:hAnsi="Arial" w:cs="Arial"/>
          <w:bCs/>
        </w:rPr>
        <w:t>2021</w:t>
      </w:r>
      <w:r w:rsidRPr="00E56219">
        <w:rPr>
          <w:rFonts w:ascii="Arial" w:hAnsi="Arial" w:cs="Arial"/>
          <w:bCs/>
        </w:rPr>
        <w:t>, para la fiscalización superior de la Cuenta Públ</w:t>
      </w:r>
      <w:r>
        <w:rPr>
          <w:rFonts w:ascii="Arial" w:hAnsi="Arial" w:cs="Arial"/>
          <w:bCs/>
        </w:rPr>
        <w:t>ica 2020</w:t>
      </w:r>
      <w:r w:rsidRPr="00E56219">
        <w:rPr>
          <w:rFonts w:ascii="Arial" w:hAnsi="Arial" w:cs="Arial"/>
          <w:bCs/>
        </w:rPr>
        <w:t>, el cual fue expedido y publicado en el portal web de la Auditoría Superior</w:t>
      </w:r>
      <w:r w:rsidRPr="00094667">
        <w:rPr>
          <w:rFonts w:ascii="Arial" w:hAnsi="Arial" w:cs="Arial"/>
          <w:bCs/>
        </w:rPr>
        <w:t xml:space="preserve"> del Estado de Quintana Roo.</w:t>
      </w:r>
    </w:p>
    <w:p w14:paraId="0C95CB44" w14:textId="77777777" w:rsidR="00235244" w:rsidRPr="00452319" w:rsidRDefault="00235244" w:rsidP="00235244">
      <w:pPr>
        <w:spacing w:line="360" w:lineRule="auto"/>
        <w:ind w:right="190"/>
        <w:jc w:val="both"/>
        <w:rPr>
          <w:rFonts w:ascii="Arial" w:hAnsi="Arial" w:cs="Arial"/>
          <w:sz w:val="20"/>
          <w:szCs w:val="20"/>
        </w:rPr>
      </w:pPr>
    </w:p>
    <w:p w14:paraId="69A39610" w14:textId="6CF7F050" w:rsidR="00235244" w:rsidRDefault="00235244" w:rsidP="00235244">
      <w:pPr>
        <w:spacing w:line="360" w:lineRule="auto"/>
        <w:ind w:right="190"/>
        <w:jc w:val="both"/>
        <w:rPr>
          <w:rFonts w:ascii="Arial" w:hAnsi="Arial" w:cs="Arial"/>
        </w:rPr>
      </w:pPr>
      <w:r>
        <w:rPr>
          <w:rFonts w:ascii="Arial" w:hAnsi="Arial" w:cs="Arial"/>
        </w:rPr>
        <w:t xml:space="preserve">Durante el ejercicio fiscal 2020 la Auditoría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Pr>
          <w:rFonts w:ascii="Arial" w:hAnsi="Arial" w:cs="Arial"/>
        </w:rPr>
        <w:t>S</w:t>
      </w:r>
      <w:r w:rsidRPr="00BC62A7">
        <w:rPr>
          <w:rFonts w:ascii="Arial" w:hAnsi="Arial" w:cs="Arial"/>
        </w:rPr>
        <w:t>-CoV</w:t>
      </w:r>
      <w:r w:rsidR="00CB59FA">
        <w:rPr>
          <w:rFonts w:ascii="Arial" w:hAnsi="Arial" w:cs="Arial"/>
        </w:rPr>
        <w:t>-</w:t>
      </w:r>
      <w:r w:rsidRPr="00BC62A7">
        <w:rPr>
          <w:rFonts w:ascii="Arial" w:hAnsi="Arial" w:cs="Arial"/>
        </w:rPr>
        <w:t>2, 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w:t>
      </w:r>
      <w:r w:rsidRPr="002C6309">
        <w:rPr>
          <w:rFonts w:ascii="Arial" w:hAnsi="Arial" w:cs="Arial"/>
        </w:rPr>
        <w:lastRenderedPageBreak/>
        <w:t xml:space="preserve">evitarse, circunstancia que </w:t>
      </w:r>
      <w:r>
        <w:rPr>
          <w:rFonts w:ascii="Arial" w:hAnsi="Arial" w:cs="Arial"/>
        </w:rPr>
        <w:t>tuvo que ser considerada en la etapa de planeación y que se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Fiscalización y Rendición de Cuentas del Estado de Quintana Roo.</w:t>
      </w:r>
    </w:p>
    <w:p w14:paraId="43C0E404" w14:textId="77777777" w:rsidR="00235244" w:rsidRPr="00452319" w:rsidRDefault="00235244" w:rsidP="00235244">
      <w:pPr>
        <w:spacing w:line="360" w:lineRule="auto"/>
        <w:ind w:right="190"/>
        <w:jc w:val="both"/>
        <w:rPr>
          <w:rFonts w:ascii="Arial" w:hAnsi="Arial" w:cs="Arial"/>
          <w:sz w:val="20"/>
          <w:szCs w:val="20"/>
        </w:rPr>
      </w:pPr>
    </w:p>
    <w:p w14:paraId="59F83F20" w14:textId="77777777" w:rsidR="00235244" w:rsidRDefault="00235244" w:rsidP="00235244">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239A8804" w14:textId="77777777" w:rsidR="00235244" w:rsidRPr="00452319" w:rsidRDefault="00235244" w:rsidP="00235244">
      <w:pPr>
        <w:spacing w:line="360" w:lineRule="auto"/>
        <w:ind w:right="190"/>
        <w:jc w:val="both"/>
        <w:rPr>
          <w:rFonts w:ascii="Arial" w:hAnsi="Arial" w:cs="Arial"/>
          <w:sz w:val="20"/>
          <w:szCs w:val="20"/>
        </w:rPr>
      </w:pPr>
    </w:p>
    <w:p w14:paraId="6F0C11F6" w14:textId="0A89C6A1" w:rsidR="00235244" w:rsidRPr="00A05588" w:rsidRDefault="00235244" w:rsidP="00235244">
      <w:pPr>
        <w:spacing w:line="360" w:lineRule="auto"/>
        <w:ind w:right="190"/>
        <w:jc w:val="both"/>
        <w:rPr>
          <w:rFonts w:ascii="Arial" w:hAnsi="Arial" w:cs="Arial"/>
        </w:rPr>
      </w:pPr>
      <w:bookmarkStart w:id="5" w:name="_Hlk11404920"/>
      <w:r w:rsidRPr="009879F6">
        <w:rPr>
          <w:rFonts w:ascii="Arial" w:hAnsi="Arial" w:cs="Arial"/>
        </w:rPr>
        <w:t xml:space="preserve">Por lo anterior y en cumplimiento a </w:t>
      </w:r>
      <w:r w:rsidRPr="004408EB">
        <w:rPr>
          <w:rFonts w:ascii="Arial" w:hAnsi="Arial" w:cs="Arial"/>
        </w:rPr>
        <w:t xml:space="preserve">los </w:t>
      </w:r>
      <w:r w:rsidRPr="00EC4C04">
        <w:rPr>
          <w:rFonts w:ascii="Arial" w:hAnsi="Arial" w:cs="Arial"/>
        </w:rPr>
        <w:t>artículos 2, 3, 4, 5, 6 fracciones I, II y XX,</w:t>
      </w:r>
      <w:r w:rsidR="00CB59FA">
        <w:rPr>
          <w:rFonts w:ascii="Arial" w:hAnsi="Arial" w:cs="Arial"/>
        </w:rPr>
        <w:t xml:space="preserve"> </w:t>
      </w:r>
      <w:r w:rsidRPr="00EC4C04">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5"/>
      <w:r w:rsidRPr="00EC4C04">
        <w:rPr>
          <w:rFonts w:ascii="Arial" w:hAnsi="Arial" w:cs="Arial"/>
        </w:rPr>
        <w:t>,</w:t>
      </w:r>
      <w:r w:rsidRPr="004408EB">
        <w:rPr>
          <w:rFonts w:ascii="Arial" w:hAnsi="Arial" w:cs="Arial"/>
        </w:rPr>
        <w:t xml:space="preserve"> se tiene a bien presentar</w:t>
      </w:r>
      <w:r>
        <w:rPr>
          <w:rFonts w:ascii="Arial" w:hAnsi="Arial" w:cs="Arial"/>
        </w:rPr>
        <w:t xml:space="preserve"> 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w:t>
      </w:r>
      <w:r>
        <w:rPr>
          <w:rFonts w:ascii="Arial" w:hAnsi="Arial" w:cs="Arial"/>
          <w:bCs/>
        </w:rPr>
        <w:t>l</w:t>
      </w:r>
      <w:r w:rsidRPr="004408EB">
        <w:rPr>
          <w:rFonts w:ascii="Arial" w:hAnsi="Arial" w:cs="Arial"/>
          <w:bCs/>
        </w:rPr>
        <w:t xml:space="preserve"> </w:t>
      </w:r>
      <w:r w:rsidR="00BE3D4F">
        <w:rPr>
          <w:rFonts w:ascii="Arial" w:hAnsi="Arial" w:cs="Arial"/>
          <w:b/>
        </w:rPr>
        <w:t>Instituto de Movilidad del Estado de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2020</w:t>
      </w:r>
      <w:r w:rsidRPr="009879F6">
        <w:rPr>
          <w:rFonts w:ascii="Arial" w:hAnsi="Arial" w:cs="Arial"/>
        </w:rPr>
        <w:t>.</w:t>
      </w:r>
    </w:p>
    <w:p w14:paraId="3D19FCC8" w14:textId="77777777" w:rsidR="00235244" w:rsidRPr="00452319" w:rsidRDefault="00235244" w:rsidP="00235244">
      <w:pPr>
        <w:spacing w:line="360" w:lineRule="auto"/>
        <w:ind w:right="190"/>
        <w:rPr>
          <w:rFonts w:ascii="Arial" w:hAnsi="Arial" w:cs="Arial"/>
          <w:b/>
          <w:bCs/>
          <w:sz w:val="20"/>
          <w:szCs w:val="20"/>
        </w:rPr>
      </w:pPr>
    </w:p>
    <w:p w14:paraId="29036C95" w14:textId="77777777" w:rsidR="00235244" w:rsidRPr="00A05588" w:rsidRDefault="00235244" w:rsidP="00235244">
      <w:pPr>
        <w:spacing w:line="360" w:lineRule="auto"/>
        <w:ind w:right="190"/>
        <w:rPr>
          <w:rFonts w:ascii="Arial" w:hAnsi="Arial" w:cs="Arial"/>
          <w:b/>
          <w:bCs/>
        </w:rPr>
      </w:pPr>
      <w:r w:rsidRPr="00A05588">
        <w:rPr>
          <w:rFonts w:ascii="Arial" w:hAnsi="Arial" w:cs="Arial"/>
          <w:b/>
          <w:bCs/>
        </w:rPr>
        <w:t>ANTECEDENTES DE LA ENTIDAD FISCALIZADA</w:t>
      </w:r>
    </w:p>
    <w:p w14:paraId="03696780" w14:textId="77777777" w:rsidR="00235244" w:rsidRPr="00452319" w:rsidRDefault="00235244" w:rsidP="00235244">
      <w:pPr>
        <w:spacing w:line="360" w:lineRule="auto"/>
        <w:ind w:right="190"/>
        <w:rPr>
          <w:rFonts w:ascii="Arial" w:hAnsi="Arial" w:cs="Arial"/>
          <w:b/>
          <w:bCs/>
          <w:sz w:val="20"/>
          <w:szCs w:val="20"/>
        </w:rPr>
      </w:pPr>
    </w:p>
    <w:p w14:paraId="7DB44508" w14:textId="77777777" w:rsidR="00235244" w:rsidRDefault="00235244" w:rsidP="00235244">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07C93234" w14:textId="77777777" w:rsidR="00235244" w:rsidRPr="00452319" w:rsidRDefault="00235244" w:rsidP="00235244">
      <w:pPr>
        <w:spacing w:line="360" w:lineRule="auto"/>
        <w:ind w:right="190"/>
        <w:jc w:val="both"/>
        <w:rPr>
          <w:rFonts w:ascii="Arial" w:hAnsi="Arial" w:cs="Arial"/>
          <w:b/>
          <w:sz w:val="20"/>
          <w:szCs w:val="20"/>
        </w:rPr>
      </w:pPr>
    </w:p>
    <w:p w14:paraId="5BCCE33D" w14:textId="77777777" w:rsidR="00BE3D4F" w:rsidRDefault="00BE3D4F" w:rsidP="00BE3D4F">
      <w:pPr>
        <w:spacing w:line="360" w:lineRule="auto"/>
        <w:ind w:right="190"/>
        <w:jc w:val="both"/>
        <w:rPr>
          <w:rFonts w:ascii="Arial" w:hAnsi="Arial" w:cs="Arial"/>
        </w:rPr>
      </w:pPr>
      <w:r w:rsidRPr="003B0741">
        <w:rPr>
          <w:rFonts w:ascii="Arial" w:hAnsi="Arial" w:cs="Arial"/>
        </w:rPr>
        <w:t>El Instituto de Movilidad del Estado de Quintana Roo, fue creado por decreto de Ley Número 213 de la H. XV Legislatura del Estado, publicado en el Periódico Oficial del Estado de Quintana Roo el día 14 de junio de 2018, y tiene por objeto garantizar la promoción, el respeto, la</w:t>
      </w:r>
      <w:r>
        <w:rPr>
          <w:rFonts w:ascii="Arial" w:hAnsi="Arial" w:cs="Arial"/>
        </w:rPr>
        <w:t xml:space="preserve"> </w:t>
      </w:r>
      <w:r w:rsidRPr="003B0741">
        <w:rPr>
          <w:rFonts w:ascii="Arial" w:hAnsi="Arial" w:cs="Arial"/>
        </w:rPr>
        <w:t xml:space="preserve">protección y la garantía del derecho humano a la movilidad; establecer las bases y directrices para planificar, regular y gestionar la movilidad de las personas y libre tránsito del transporte de bienes; garantizar el poder de elección que </w:t>
      </w:r>
      <w:r w:rsidRPr="003B0741">
        <w:rPr>
          <w:rFonts w:ascii="Arial" w:hAnsi="Arial" w:cs="Arial"/>
        </w:rPr>
        <w:lastRenderedPageBreak/>
        <w:t>permita el efectivo desplazamiento de las personas en condiciones de seguridad, calidad, igualdad y sustentabilidad, que satisfaga las necesidades de las personas y el desarrollo de la sociedad en su conjunto; así como reglamentar la fracción XXVII del artículo 75 de la Constitución Política del Estado Libre y Soberano de Quintana Roo, en materia de concesiones para la prestación del servicio público y privado de transporte en sus diversas modalidade</w:t>
      </w:r>
      <w:r w:rsidRPr="00C80D42">
        <w:rPr>
          <w:rFonts w:ascii="Arial" w:hAnsi="Arial" w:cs="Arial"/>
        </w:rPr>
        <w:t>s.</w:t>
      </w:r>
    </w:p>
    <w:p w14:paraId="5E367B85" w14:textId="77777777" w:rsidR="00BE3D4F" w:rsidRPr="00452319" w:rsidRDefault="00BE3D4F" w:rsidP="00BE3D4F">
      <w:pPr>
        <w:spacing w:line="360" w:lineRule="auto"/>
        <w:ind w:right="190"/>
        <w:jc w:val="both"/>
        <w:rPr>
          <w:rFonts w:ascii="Arial" w:hAnsi="Arial" w:cs="Arial"/>
          <w:bCs/>
          <w:sz w:val="20"/>
          <w:szCs w:val="20"/>
          <w:highlight w:val="cyan"/>
        </w:rPr>
      </w:pPr>
    </w:p>
    <w:p w14:paraId="6B2D72E2" w14:textId="3AD0C7CC" w:rsidR="00BE3D4F" w:rsidRPr="00023BDB" w:rsidRDefault="00BE3D4F" w:rsidP="00BE3D4F">
      <w:pPr>
        <w:shd w:val="clear" w:color="auto" w:fill="FFFFFF"/>
        <w:spacing w:line="360" w:lineRule="auto"/>
        <w:ind w:right="190"/>
        <w:jc w:val="both"/>
        <w:rPr>
          <w:rFonts w:ascii="Arial" w:hAnsi="Arial" w:cs="Arial"/>
          <w:color w:val="000000"/>
          <w:lang w:eastAsia="es-MX"/>
        </w:rPr>
      </w:pPr>
      <w:r>
        <w:rPr>
          <w:rFonts w:ascii="Arial" w:hAnsi="Arial" w:cs="Arial"/>
          <w:color w:val="000000"/>
          <w:lang w:eastAsia="es-MX"/>
        </w:rPr>
        <w:t>Asimismo, el fin del Instituto es impl</w:t>
      </w:r>
      <w:r w:rsidRPr="000D01F5">
        <w:rPr>
          <w:rFonts w:ascii="Arial" w:hAnsi="Arial" w:cs="Arial"/>
          <w:color w:val="000000"/>
          <w:lang w:eastAsia="es-MX"/>
        </w:rPr>
        <w:t>antar y poner en vigor las disposicio</w:t>
      </w:r>
      <w:r w:rsidR="00697DE9">
        <w:rPr>
          <w:rFonts w:ascii="Arial" w:hAnsi="Arial" w:cs="Arial"/>
          <w:color w:val="000000"/>
          <w:lang w:eastAsia="es-MX"/>
        </w:rPr>
        <w:t>nes de la Ley de Movilidad del E</w:t>
      </w:r>
      <w:r w:rsidRPr="000D01F5">
        <w:rPr>
          <w:rFonts w:ascii="Arial" w:hAnsi="Arial" w:cs="Arial"/>
          <w:color w:val="000000"/>
          <w:lang w:eastAsia="es-MX"/>
        </w:rPr>
        <w:t xml:space="preserve">stado de </w:t>
      </w:r>
      <w:r>
        <w:rPr>
          <w:rFonts w:ascii="Arial" w:hAnsi="Arial" w:cs="Arial"/>
          <w:color w:val="000000"/>
          <w:lang w:eastAsia="es-MX"/>
        </w:rPr>
        <w:t>Q</w:t>
      </w:r>
      <w:r w:rsidRPr="000D01F5">
        <w:rPr>
          <w:rFonts w:ascii="Arial" w:hAnsi="Arial" w:cs="Arial"/>
          <w:color w:val="000000"/>
          <w:lang w:eastAsia="es-MX"/>
        </w:rPr>
        <w:t xml:space="preserve">uintana </w:t>
      </w:r>
      <w:r>
        <w:rPr>
          <w:rFonts w:ascii="Arial" w:hAnsi="Arial" w:cs="Arial"/>
          <w:color w:val="000000"/>
          <w:lang w:eastAsia="es-MX"/>
        </w:rPr>
        <w:t>R</w:t>
      </w:r>
      <w:r w:rsidRPr="000D01F5">
        <w:rPr>
          <w:rFonts w:ascii="Arial" w:hAnsi="Arial" w:cs="Arial"/>
          <w:color w:val="000000"/>
          <w:lang w:eastAsia="es-MX"/>
        </w:rPr>
        <w:t>oo y las que se desprendan de ésta, así como, las acciones de concertación con los gobiernos municipales que se relacionan con el tránsito de personas y bienes, con el fin de crear, desarrollar, regular, y garantizar la aplicación de políticas de movilidad para el servicio de transporte con eficiencia y calidad a los prestadores, usuarios y ciudadanía en general.</w:t>
      </w:r>
    </w:p>
    <w:p w14:paraId="77110D05" w14:textId="53937B49" w:rsidR="00D4595D" w:rsidRDefault="00D4595D" w:rsidP="00235244">
      <w:pPr>
        <w:spacing w:line="360" w:lineRule="auto"/>
        <w:ind w:right="190"/>
        <w:jc w:val="both"/>
        <w:rPr>
          <w:rFonts w:ascii="Arial" w:hAnsi="Arial" w:cs="Arial"/>
          <w:b/>
          <w:bCs/>
        </w:rPr>
      </w:pPr>
    </w:p>
    <w:p w14:paraId="5BED7337" w14:textId="77777777" w:rsidR="00995A30" w:rsidRDefault="00995A30" w:rsidP="00235244">
      <w:pPr>
        <w:spacing w:line="360" w:lineRule="auto"/>
        <w:ind w:right="190"/>
        <w:jc w:val="both"/>
        <w:rPr>
          <w:rFonts w:ascii="Arial" w:hAnsi="Arial" w:cs="Arial"/>
          <w:b/>
          <w:bCs/>
        </w:rPr>
      </w:pPr>
    </w:p>
    <w:p w14:paraId="3046FC29" w14:textId="77777777" w:rsidR="00235244" w:rsidRPr="009879F6" w:rsidRDefault="00235244" w:rsidP="00235244">
      <w:pPr>
        <w:spacing w:line="360" w:lineRule="auto"/>
        <w:ind w:right="190"/>
        <w:jc w:val="both"/>
        <w:rPr>
          <w:rFonts w:ascii="Arial" w:hAnsi="Arial" w:cs="Arial"/>
          <w:b/>
          <w:bCs/>
        </w:rPr>
      </w:pPr>
      <w:r w:rsidRPr="009879F6">
        <w:rPr>
          <w:rFonts w:ascii="Arial" w:hAnsi="Arial" w:cs="Arial"/>
          <w:b/>
          <w:bCs/>
        </w:rPr>
        <w:t>I. INFORME INDIVIDUAL DE AUDITORÍA RELATIVO A INGRESOS</w:t>
      </w:r>
    </w:p>
    <w:p w14:paraId="2E4473F5" w14:textId="77777777" w:rsidR="00235244" w:rsidRPr="00452319" w:rsidRDefault="00235244" w:rsidP="00235244">
      <w:pPr>
        <w:spacing w:line="360" w:lineRule="auto"/>
        <w:ind w:right="190"/>
        <w:jc w:val="both"/>
        <w:rPr>
          <w:rFonts w:ascii="Arial" w:hAnsi="Arial" w:cs="Arial"/>
          <w:b/>
          <w:bCs/>
          <w:sz w:val="22"/>
          <w:szCs w:val="22"/>
        </w:rPr>
      </w:pPr>
    </w:p>
    <w:p w14:paraId="13214749" w14:textId="77777777" w:rsidR="00235244" w:rsidRPr="009879F6" w:rsidRDefault="00235244" w:rsidP="00235244">
      <w:pPr>
        <w:spacing w:line="360" w:lineRule="auto"/>
        <w:ind w:right="190"/>
        <w:jc w:val="both"/>
        <w:rPr>
          <w:rFonts w:ascii="Arial" w:hAnsi="Arial" w:cs="Arial"/>
          <w:b/>
          <w:bCs/>
        </w:rPr>
      </w:pPr>
      <w:r w:rsidRPr="009879F6">
        <w:rPr>
          <w:rFonts w:ascii="Arial" w:hAnsi="Arial" w:cs="Arial"/>
          <w:b/>
          <w:bCs/>
        </w:rPr>
        <w:t>I.1. ASPECTOS GENERALES DE LA AUDITORÍA</w:t>
      </w:r>
    </w:p>
    <w:p w14:paraId="7EB887B8" w14:textId="77777777" w:rsidR="00235244" w:rsidRPr="00452319" w:rsidRDefault="00235244" w:rsidP="00235244">
      <w:pPr>
        <w:spacing w:line="360" w:lineRule="auto"/>
        <w:jc w:val="both"/>
        <w:rPr>
          <w:rFonts w:ascii="Arial" w:hAnsi="Arial" w:cs="Arial"/>
          <w:b/>
          <w:bCs/>
          <w:sz w:val="22"/>
          <w:szCs w:val="22"/>
        </w:rPr>
      </w:pPr>
    </w:p>
    <w:p w14:paraId="083B93A2" w14:textId="66D26474" w:rsidR="00235244" w:rsidRDefault="00235244" w:rsidP="00235244">
      <w:pPr>
        <w:spacing w:line="360" w:lineRule="auto"/>
        <w:jc w:val="both"/>
        <w:rPr>
          <w:rFonts w:ascii="Arial" w:hAnsi="Arial" w:cs="Arial"/>
          <w:b/>
          <w:bCs/>
        </w:rPr>
      </w:pPr>
      <w:r w:rsidRPr="009879F6">
        <w:rPr>
          <w:rFonts w:ascii="Arial" w:hAnsi="Arial" w:cs="Arial"/>
          <w:b/>
          <w:bCs/>
        </w:rPr>
        <w:t>A. Título de la Auditoría</w:t>
      </w:r>
    </w:p>
    <w:p w14:paraId="3064930E" w14:textId="77777777" w:rsidR="00235244" w:rsidRPr="00452319" w:rsidRDefault="00235244" w:rsidP="00235244">
      <w:pPr>
        <w:spacing w:line="360" w:lineRule="auto"/>
        <w:jc w:val="both"/>
        <w:rPr>
          <w:rFonts w:ascii="Arial" w:hAnsi="Arial" w:cs="Arial"/>
          <w:b/>
          <w:bCs/>
          <w:sz w:val="22"/>
          <w:szCs w:val="22"/>
        </w:rPr>
      </w:pPr>
    </w:p>
    <w:p w14:paraId="709B7601" w14:textId="6E6FAAE2" w:rsidR="00235244" w:rsidRPr="009879F6" w:rsidRDefault="00235244" w:rsidP="00235244">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BE3D4F">
        <w:rPr>
          <w:rFonts w:ascii="Arial" w:hAnsi="Arial" w:cs="Arial"/>
          <w:b/>
        </w:rPr>
        <w:t>Instituto de Movilidad del Estado de Quintana Roo</w:t>
      </w:r>
      <w:r>
        <w:rPr>
          <w:rFonts w:ascii="Arial" w:hAnsi="Arial" w:cs="Arial"/>
        </w:rPr>
        <w:t xml:space="preserve">, </w:t>
      </w:r>
      <w:r w:rsidRPr="009879F6">
        <w:rPr>
          <w:rFonts w:ascii="Arial" w:hAnsi="Arial" w:cs="Arial"/>
        </w:rPr>
        <w:t>de manera especial y enunciativa mas no limitativa, fue la siguiente:</w:t>
      </w:r>
    </w:p>
    <w:p w14:paraId="170B017F" w14:textId="77777777" w:rsidR="00235244" w:rsidRPr="00452319" w:rsidRDefault="00235244" w:rsidP="00235244">
      <w:pPr>
        <w:spacing w:line="360" w:lineRule="auto"/>
        <w:jc w:val="both"/>
        <w:rPr>
          <w:rFonts w:ascii="Arial" w:hAnsi="Arial" w:cs="Arial"/>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3418"/>
        <w:gridCol w:w="6270"/>
      </w:tblGrid>
      <w:tr w:rsidR="00235244" w:rsidRPr="009879F6" w14:paraId="489F825A" w14:textId="77777777" w:rsidTr="00024164">
        <w:trPr>
          <w:trHeight w:val="678"/>
          <w:tblHeader/>
          <w:jc w:val="center"/>
        </w:trPr>
        <w:tc>
          <w:tcPr>
            <w:tcW w:w="1764" w:type="pct"/>
            <w:shd w:val="clear" w:color="auto" w:fill="auto"/>
          </w:tcPr>
          <w:p w14:paraId="1C4525CD" w14:textId="6C87E919" w:rsidR="00235244" w:rsidRPr="009879F6" w:rsidRDefault="00733F26" w:rsidP="00BE3D4F">
            <w:pPr>
              <w:spacing w:line="360" w:lineRule="auto"/>
              <w:ind w:right="190"/>
              <w:jc w:val="both"/>
              <w:rPr>
                <w:rFonts w:ascii="Arial" w:hAnsi="Arial" w:cs="Arial"/>
                <w:b/>
                <w:bCs/>
              </w:rPr>
            </w:pPr>
            <w:r>
              <w:rPr>
                <w:rFonts w:ascii="Arial" w:hAnsi="Arial" w:cs="Arial"/>
                <w:b/>
                <w:bCs/>
              </w:rPr>
              <w:t>20-AEMF-E-GOB-0</w:t>
            </w:r>
            <w:r w:rsidR="00BE3D4F">
              <w:rPr>
                <w:rFonts w:ascii="Arial" w:hAnsi="Arial" w:cs="Arial"/>
                <w:b/>
                <w:bCs/>
              </w:rPr>
              <w:t>35-069</w:t>
            </w:r>
          </w:p>
        </w:tc>
        <w:tc>
          <w:tcPr>
            <w:tcW w:w="3236" w:type="pct"/>
            <w:shd w:val="clear" w:color="auto" w:fill="auto"/>
          </w:tcPr>
          <w:p w14:paraId="49CC95E6" w14:textId="7D6DEAF6" w:rsidR="00235244" w:rsidRPr="009879F6" w:rsidRDefault="00235244" w:rsidP="00452319">
            <w:pPr>
              <w:spacing w:line="360" w:lineRule="auto"/>
              <w:ind w:right="190"/>
              <w:jc w:val="both"/>
              <w:rPr>
                <w:rFonts w:ascii="Arial" w:hAnsi="Arial" w:cs="Arial"/>
                <w:bCs/>
              </w:rPr>
            </w:pPr>
            <w:r w:rsidRPr="009879F6">
              <w:rPr>
                <w:rFonts w:ascii="Arial" w:hAnsi="Arial" w:cs="Arial"/>
                <w:bCs/>
              </w:rPr>
              <w:t>“</w:t>
            </w:r>
            <w:r w:rsidRPr="00EC4C04">
              <w:rPr>
                <w:rFonts w:ascii="Arial" w:hAnsi="Arial" w:cs="Arial"/>
                <w:bCs/>
              </w:rPr>
              <w:t>Auditoría de Cumplimiento Financiero de Ingresos y Otros Beneficios”</w:t>
            </w:r>
          </w:p>
        </w:tc>
      </w:tr>
    </w:tbl>
    <w:p w14:paraId="28D8F526" w14:textId="77777777" w:rsidR="00995A30" w:rsidRDefault="00995A30" w:rsidP="00235244">
      <w:pPr>
        <w:spacing w:line="360" w:lineRule="auto"/>
        <w:jc w:val="both"/>
        <w:rPr>
          <w:rFonts w:ascii="Arial" w:hAnsi="Arial" w:cs="Arial"/>
          <w:b/>
          <w:bCs/>
        </w:rPr>
      </w:pPr>
    </w:p>
    <w:p w14:paraId="5AFA5704" w14:textId="77777777" w:rsidR="00995A30" w:rsidRDefault="00995A30" w:rsidP="00235244">
      <w:pPr>
        <w:spacing w:line="360" w:lineRule="auto"/>
        <w:jc w:val="both"/>
        <w:rPr>
          <w:rFonts w:ascii="Arial" w:hAnsi="Arial" w:cs="Arial"/>
          <w:b/>
          <w:bCs/>
        </w:rPr>
      </w:pPr>
    </w:p>
    <w:p w14:paraId="2A58A2D2" w14:textId="22F63920" w:rsidR="00235244" w:rsidRDefault="00235244" w:rsidP="00235244">
      <w:pPr>
        <w:spacing w:line="360" w:lineRule="auto"/>
        <w:jc w:val="both"/>
        <w:rPr>
          <w:rFonts w:ascii="Arial" w:hAnsi="Arial" w:cs="Arial"/>
          <w:b/>
          <w:bCs/>
        </w:rPr>
      </w:pPr>
      <w:r w:rsidRPr="009879F6">
        <w:rPr>
          <w:rFonts w:ascii="Arial" w:hAnsi="Arial" w:cs="Arial"/>
          <w:b/>
          <w:bCs/>
        </w:rPr>
        <w:lastRenderedPageBreak/>
        <w:t>B. Objetivo</w:t>
      </w:r>
    </w:p>
    <w:p w14:paraId="256B09E3" w14:textId="77777777" w:rsidR="00235244" w:rsidRPr="00452319" w:rsidRDefault="00235244" w:rsidP="00235244">
      <w:pPr>
        <w:spacing w:line="360" w:lineRule="auto"/>
        <w:jc w:val="both"/>
        <w:rPr>
          <w:rFonts w:ascii="Arial" w:hAnsi="Arial" w:cs="Arial"/>
          <w:b/>
          <w:bCs/>
          <w:sz w:val="20"/>
          <w:szCs w:val="20"/>
        </w:rPr>
      </w:pPr>
    </w:p>
    <w:p w14:paraId="16671AC4" w14:textId="2D866A74" w:rsidR="00235244" w:rsidRPr="001877A0" w:rsidRDefault="00235244" w:rsidP="00974C66">
      <w:pPr>
        <w:spacing w:line="360" w:lineRule="auto"/>
        <w:ind w:right="141"/>
        <w:jc w:val="both"/>
        <w:rPr>
          <w:rFonts w:ascii="Arial" w:hAnsi="Arial" w:cs="Arial"/>
          <w:bCs/>
        </w:rPr>
      </w:pPr>
      <w:r w:rsidRPr="001877A0">
        <w:rPr>
          <w:rFonts w:ascii="Arial" w:hAnsi="Arial" w:cs="Arial"/>
        </w:rPr>
        <w:t>Fiscalizar la gestión financiera para comprobar el cumplimiento de lo dispuesto en el Presupuesto de Ingresos</w:t>
      </w:r>
      <w:r>
        <w:rPr>
          <w:rFonts w:ascii="Arial" w:hAnsi="Arial" w:cs="Arial"/>
        </w:rPr>
        <w:t xml:space="preserve"> </w:t>
      </w:r>
      <w:r w:rsidRPr="0087021C">
        <w:rPr>
          <w:rFonts w:ascii="Arial" w:hAnsi="Arial" w:cs="Arial"/>
          <w:bCs/>
        </w:rPr>
        <w:t xml:space="preserve">para el ejercicio fiscal </w:t>
      </w:r>
      <w:r>
        <w:rPr>
          <w:rFonts w:ascii="Arial" w:hAnsi="Arial" w:cs="Arial"/>
          <w:bCs/>
        </w:rPr>
        <w:t>2020</w:t>
      </w:r>
      <w:r w:rsidRPr="001877A0">
        <w:rPr>
          <w:rFonts w:ascii="Arial" w:hAnsi="Arial" w:cs="Arial"/>
        </w:rPr>
        <w:t>, y demás disposiciones legales aplicables, en cuanto a los ingresos</w:t>
      </w:r>
      <w:r w:rsidR="00697DE9">
        <w:rPr>
          <w:rFonts w:ascii="Arial" w:hAnsi="Arial" w:cs="Arial"/>
        </w:rPr>
        <w:t xml:space="preserve"> propios</w:t>
      </w:r>
      <w:r w:rsidRPr="001877A0">
        <w:rPr>
          <w:rFonts w:ascii="Arial" w:hAnsi="Arial" w:cs="Arial"/>
        </w:rPr>
        <w:t>, incluyendo la revisión de</w:t>
      </w:r>
      <w:r w:rsidR="00697DE9">
        <w:rPr>
          <w:rFonts w:ascii="Arial" w:hAnsi="Arial" w:cs="Arial"/>
        </w:rPr>
        <w:t xml:space="preserve"> </w:t>
      </w:r>
      <w:r w:rsidRPr="001877A0">
        <w:rPr>
          <w:rFonts w:ascii="Arial" w:hAnsi="Arial" w:cs="Arial"/>
        </w:rPr>
        <w:t>l</w:t>
      </w:r>
      <w:r w:rsidR="00697DE9">
        <w:rPr>
          <w:rFonts w:ascii="Arial" w:hAnsi="Arial" w:cs="Arial"/>
        </w:rPr>
        <w:t>a captación,</w:t>
      </w:r>
      <w:r w:rsidRPr="001877A0">
        <w:rPr>
          <w:rFonts w:ascii="Arial" w:hAnsi="Arial" w:cs="Arial"/>
        </w:rPr>
        <w:t xml:space="preserve"> manejo y la custodia de recursos públicos estatales</w:t>
      </w:r>
      <w:r w:rsidR="00BE3D4F">
        <w:rPr>
          <w:rFonts w:ascii="Arial" w:hAnsi="Arial" w:cs="Arial"/>
        </w:rPr>
        <w:t xml:space="preserve"> y propios</w:t>
      </w:r>
      <w:r w:rsidRPr="001877A0">
        <w:rPr>
          <w:rFonts w:ascii="Arial" w:hAnsi="Arial" w:cs="Arial"/>
        </w:rPr>
        <w:t>, así como de la demás información financiera, contable, patrimonial, presupuestaria y programática, conforme a las disposiciones aplicables.</w:t>
      </w:r>
    </w:p>
    <w:p w14:paraId="0C7A87C1" w14:textId="77777777" w:rsidR="00235244" w:rsidRPr="009879F6" w:rsidRDefault="00235244" w:rsidP="00235244">
      <w:pPr>
        <w:spacing w:line="360" w:lineRule="auto"/>
        <w:jc w:val="both"/>
        <w:rPr>
          <w:rFonts w:ascii="Arial" w:hAnsi="Arial" w:cs="Arial"/>
          <w:bCs/>
        </w:rPr>
      </w:pPr>
    </w:p>
    <w:p w14:paraId="53B6B394" w14:textId="77777777" w:rsidR="00235244" w:rsidRPr="00AA50F2" w:rsidRDefault="00235244" w:rsidP="00235244">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23142503" w14:textId="77777777" w:rsidR="00235244" w:rsidRPr="00452319" w:rsidRDefault="00235244" w:rsidP="00235244">
      <w:pPr>
        <w:spacing w:line="360" w:lineRule="auto"/>
        <w:jc w:val="both"/>
        <w:rPr>
          <w:rFonts w:ascii="Arial" w:hAnsi="Arial" w:cs="Arial"/>
        </w:rPr>
      </w:pPr>
    </w:p>
    <w:p w14:paraId="56DC9B50" w14:textId="312E9189" w:rsidR="00235244" w:rsidRPr="009879F6" w:rsidRDefault="00235244" w:rsidP="00235244">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A9380E">
        <w:rPr>
          <w:rFonts w:ascii="Arial" w:hAnsi="Arial" w:cs="Arial"/>
        </w:rPr>
        <w:t>54,135,858.83</w:t>
      </w:r>
    </w:p>
    <w:p w14:paraId="683F20E1" w14:textId="77777777" w:rsidR="00235244" w:rsidRPr="00452319" w:rsidRDefault="00235244" w:rsidP="00235244">
      <w:pPr>
        <w:spacing w:line="360" w:lineRule="auto"/>
        <w:rPr>
          <w:rFonts w:ascii="Arial" w:hAnsi="Arial" w:cs="Arial"/>
        </w:rPr>
      </w:pPr>
      <w:bookmarkStart w:id="6" w:name="_Toc518907881"/>
      <w:bookmarkStart w:id="7" w:name="_Toc520196704"/>
    </w:p>
    <w:p w14:paraId="58DD4941" w14:textId="2B49C6A4" w:rsidR="00235244" w:rsidRPr="009879F6" w:rsidRDefault="00235244" w:rsidP="00235244">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A9380E">
        <w:rPr>
          <w:rFonts w:ascii="Arial" w:hAnsi="Arial" w:cs="Arial"/>
        </w:rPr>
        <w:t>54,135,858.83</w:t>
      </w:r>
    </w:p>
    <w:p w14:paraId="3C502392" w14:textId="77777777" w:rsidR="00235244" w:rsidRPr="00452319" w:rsidRDefault="00235244" w:rsidP="00235244">
      <w:pPr>
        <w:spacing w:line="360" w:lineRule="auto"/>
        <w:rPr>
          <w:rFonts w:ascii="Arial" w:hAnsi="Arial" w:cs="Arial"/>
        </w:rPr>
      </w:pPr>
    </w:p>
    <w:p w14:paraId="69717386" w14:textId="260F0958" w:rsidR="00235244" w:rsidRPr="009879F6" w:rsidRDefault="00235244" w:rsidP="00235244">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bookmarkEnd w:id="6"/>
      <w:bookmarkEnd w:id="7"/>
      <w:r w:rsidRPr="009879F6">
        <w:rPr>
          <w:rFonts w:ascii="Arial" w:hAnsi="Arial" w:cs="Arial"/>
        </w:rPr>
        <w:t>$</w:t>
      </w:r>
      <w:r w:rsidR="00A9380E">
        <w:rPr>
          <w:rFonts w:ascii="Arial" w:hAnsi="Arial" w:cs="Arial"/>
        </w:rPr>
        <w:t>39,261,767.14</w:t>
      </w:r>
    </w:p>
    <w:p w14:paraId="4069D391" w14:textId="77777777" w:rsidR="00235244" w:rsidRPr="00452319" w:rsidRDefault="00235244" w:rsidP="00235244">
      <w:pPr>
        <w:spacing w:line="360" w:lineRule="auto"/>
        <w:rPr>
          <w:rFonts w:ascii="Arial" w:hAnsi="Arial" w:cs="Arial"/>
        </w:rPr>
      </w:pPr>
    </w:p>
    <w:p w14:paraId="36E62D21" w14:textId="4C0C3AAE" w:rsidR="00235244" w:rsidRPr="009879F6" w:rsidRDefault="00235244" w:rsidP="00235244">
      <w:pPr>
        <w:spacing w:line="360" w:lineRule="auto"/>
        <w:rPr>
          <w:rFonts w:ascii="Arial" w:hAnsi="Arial" w:cs="Arial"/>
        </w:rPr>
      </w:pPr>
      <w:bookmarkStart w:id="8" w:name="_Toc518907882"/>
      <w:bookmarkStart w:id="9" w:name="_Toc520196705"/>
      <w:r w:rsidRPr="009879F6">
        <w:rPr>
          <w:rFonts w:ascii="Arial" w:hAnsi="Arial" w:cs="Arial"/>
          <w:b/>
        </w:rPr>
        <w:t>Representatividad de la Muestra:</w:t>
      </w:r>
      <w:r w:rsidRPr="009879F6">
        <w:rPr>
          <w:rFonts w:ascii="Arial" w:hAnsi="Arial" w:cs="Arial"/>
        </w:rPr>
        <w:t xml:space="preserve"> </w:t>
      </w:r>
      <w:bookmarkEnd w:id="8"/>
      <w:bookmarkEnd w:id="9"/>
      <w:r w:rsidR="00CB59FA">
        <w:rPr>
          <w:rFonts w:ascii="Arial" w:hAnsi="Arial" w:cs="Arial"/>
        </w:rPr>
        <w:t>72.52</w:t>
      </w:r>
      <w:r w:rsidRPr="009879F6">
        <w:rPr>
          <w:rFonts w:ascii="Arial" w:hAnsi="Arial" w:cs="Arial"/>
        </w:rPr>
        <w:t>%</w:t>
      </w:r>
    </w:p>
    <w:p w14:paraId="31365082" w14:textId="77777777" w:rsidR="00235244" w:rsidRPr="00452319" w:rsidRDefault="00235244" w:rsidP="00235244">
      <w:pPr>
        <w:spacing w:line="360" w:lineRule="auto"/>
        <w:jc w:val="both"/>
        <w:rPr>
          <w:rFonts w:ascii="Arial" w:hAnsi="Arial" w:cs="Arial"/>
        </w:rPr>
      </w:pPr>
    </w:p>
    <w:p w14:paraId="7532929B" w14:textId="6B76709D" w:rsidR="003027A2" w:rsidRPr="002E2B2B" w:rsidRDefault="003027A2" w:rsidP="003027A2">
      <w:pPr>
        <w:spacing w:line="360" w:lineRule="auto"/>
        <w:ind w:right="190"/>
        <w:jc w:val="both"/>
        <w:rPr>
          <w:rFonts w:ascii="Arial" w:hAnsi="Arial" w:cs="Arial"/>
        </w:rPr>
      </w:pPr>
      <w:r w:rsidRPr="002E2B2B">
        <w:rPr>
          <w:rFonts w:ascii="Arial" w:hAnsi="Arial" w:cs="Arial"/>
        </w:rPr>
        <w:t xml:space="preserve">Durante el ejercicio auditado, el ente fiscalizado no recibió recursos federales, por lo cual el Universo y la Población Objetivo quedaron integradas únicamente por recursos </w:t>
      </w:r>
      <w:r w:rsidR="00332A58">
        <w:rPr>
          <w:rFonts w:ascii="Arial" w:hAnsi="Arial" w:cs="Arial"/>
        </w:rPr>
        <w:t xml:space="preserve">estatales y </w:t>
      </w:r>
      <w:r>
        <w:rPr>
          <w:rFonts w:ascii="Arial" w:hAnsi="Arial" w:cs="Arial"/>
        </w:rPr>
        <w:t>propios</w:t>
      </w:r>
      <w:r w:rsidRPr="002E2B2B">
        <w:rPr>
          <w:rFonts w:ascii="Arial" w:hAnsi="Arial" w:cs="Arial"/>
        </w:rPr>
        <w:t>.</w:t>
      </w:r>
    </w:p>
    <w:p w14:paraId="0F53DC78" w14:textId="77777777" w:rsidR="00235244" w:rsidRPr="00452319" w:rsidRDefault="00235244" w:rsidP="00235244">
      <w:pPr>
        <w:spacing w:line="360" w:lineRule="auto"/>
        <w:ind w:right="190"/>
        <w:jc w:val="both"/>
        <w:rPr>
          <w:rFonts w:ascii="Arial" w:hAnsi="Arial" w:cs="Arial"/>
        </w:rPr>
      </w:pPr>
    </w:p>
    <w:p w14:paraId="64ADFA7B" w14:textId="034E43E1" w:rsidR="00235244" w:rsidRDefault="00235244" w:rsidP="00235244">
      <w:pPr>
        <w:tabs>
          <w:tab w:val="left" w:pos="2160"/>
        </w:tabs>
        <w:spacing w:line="360" w:lineRule="auto"/>
        <w:ind w:right="190"/>
        <w:jc w:val="both"/>
        <w:rPr>
          <w:rFonts w:ascii="Arial" w:hAnsi="Arial" w:cs="Arial"/>
        </w:rPr>
      </w:pPr>
      <w:bookmarkStart w:id="10" w:name="_Hlk11406313"/>
      <w:r w:rsidRPr="00EC4C04">
        <w:rPr>
          <w:rFonts w:ascii="Arial" w:hAnsi="Arial" w:cs="Arial"/>
        </w:rPr>
        <w:t>La población objetivo se determinó sobre la base de los ingresos, que forman parte del Estado Analítico de Ingresos por Fuente de Financiamiento por el período comprendido del 01 de e</w:t>
      </w:r>
      <w:r w:rsidR="00452319">
        <w:rPr>
          <w:rFonts w:ascii="Arial" w:hAnsi="Arial" w:cs="Arial"/>
        </w:rPr>
        <w:t>nero al 31 de diciembre de 2020</w:t>
      </w:r>
      <w:r w:rsidR="00995A30">
        <w:rPr>
          <w:rFonts w:ascii="Arial" w:hAnsi="Arial" w:cs="Arial"/>
        </w:rPr>
        <w:t>.</w:t>
      </w:r>
      <w:r w:rsidRPr="00EC4C04">
        <w:rPr>
          <w:rFonts w:ascii="Arial" w:hAnsi="Arial" w:cs="Arial"/>
        </w:rPr>
        <w:t xml:space="preserve"> </w:t>
      </w:r>
    </w:p>
    <w:bookmarkEnd w:id="10"/>
    <w:p w14:paraId="016F1A14" w14:textId="77777777" w:rsidR="00235244" w:rsidRPr="00452319" w:rsidRDefault="00235244" w:rsidP="00235244">
      <w:pPr>
        <w:spacing w:line="360" w:lineRule="auto"/>
        <w:jc w:val="both"/>
        <w:rPr>
          <w:rFonts w:ascii="Arial" w:hAnsi="Arial" w:cs="Arial"/>
          <w:b/>
          <w:sz w:val="20"/>
          <w:szCs w:val="20"/>
          <w:u w:val="single"/>
        </w:rPr>
      </w:pPr>
    </w:p>
    <w:p w14:paraId="324ACFCF" w14:textId="3BCAB53F" w:rsidR="00235244" w:rsidRDefault="00235244" w:rsidP="00235244">
      <w:pPr>
        <w:spacing w:line="360" w:lineRule="auto"/>
        <w:jc w:val="both"/>
        <w:rPr>
          <w:rFonts w:ascii="Arial" w:hAnsi="Arial" w:cs="Arial"/>
          <w:bCs/>
        </w:rPr>
      </w:pPr>
    </w:p>
    <w:p w14:paraId="6A97F386" w14:textId="77777777" w:rsidR="00995A30" w:rsidRDefault="00995A30" w:rsidP="00235244">
      <w:pPr>
        <w:spacing w:line="360" w:lineRule="auto"/>
        <w:jc w:val="both"/>
        <w:rPr>
          <w:rFonts w:ascii="Arial" w:hAnsi="Arial" w:cs="Arial"/>
          <w:bCs/>
        </w:rPr>
      </w:pPr>
    </w:p>
    <w:p w14:paraId="735C557B" w14:textId="77777777" w:rsidR="00235244" w:rsidRDefault="00235244" w:rsidP="00235244">
      <w:pPr>
        <w:spacing w:line="360" w:lineRule="auto"/>
        <w:ind w:right="190"/>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84852CF" w14:textId="77777777" w:rsidR="00235244" w:rsidRPr="00452319" w:rsidRDefault="00235244" w:rsidP="00235244">
      <w:pPr>
        <w:tabs>
          <w:tab w:val="left" w:pos="9498"/>
        </w:tabs>
        <w:spacing w:line="360" w:lineRule="auto"/>
        <w:ind w:right="190"/>
        <w:jc w:val="both"/>
        <w:rPr>
          <w:rFonts w:ascii="Arial" w:hAnsi="Arial" w:cs="Arial"/>
          <w:bCs/>
        </w:rPr>
      </w:pPr>
    </w:p>
    <w:p w14:paraId="499DA43E" w14:textId="77777777" w:rsidR="00235244" w:rsidRPr="009879F6" w:rsidRDefault="00235244" w:rsidP="00235244">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2839A8">
        <w:rPr>
          <w:rFonts w:ascii="Arial" w:hAnsi="Arial" w:cs="Arial"/>
          <w:bCs/>
        </w:rPr>
        <w:t>ingresos y otros beneficios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FB2BE95" w14:textId="77777777" w:rsidR="00235244" w:rsidRPr="00452319" w:rsidRDefault="00235244" w:rsidP="00235244">
      <w:pPr>
        <w:spacing w:line="360" w:lineRule="auto"/>
        <w:ind w:right="190"/>
        <w:jc w:val="both"/>
        <w:rPr>
          <w:rFonts w:ascii="Arial" w:hAnsi="Arial" w:cs="Arial"/>
          <w:bCs/>
        </w:rPr>
      </w:pPr>
    </w:p>
    <w:p w14:paraId="47462EB9" w14:textId="69B23F91" w:rsidR="00235244" w:rsidRDefault="00235244" w:rsidP="00235244">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B77E83">
        <w:rPr>
          <w:rFonts w:ascii="Arial" w:hAnsi="Arial" w:cs="Arial"/>
          <w:bCs/>
        </w:rPr>
        <w:t>l</w:t>
      </w:r>
      <w:r w:rsidRPr="009879F6">
        <w:rPr>
          <w:rFonts w:ascii="Arial" w:hAnsi="Arial" w:cs="Arial"/>
          <w:bCs/>
        </w:rPr>
        <w:t xml:space="preserve"> </w:t>
      </w:r>
      <w:r w:rsidR="00BE3D4F">
        <w:rPr>
          <w:rFonts w:ascii="Arial" w:hAnsi="Arial" w:cs="Arial"/>
          <w:b/>
        </w:rPr>
        <w:t>Instituto de Movilidad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799415A" w14:textId="77777777" w:rsidR="00235244" w:rsidRPr="00452319" w:rsidRDefault="00235244" w:rsidP="00235244">
      <w:pPr>
        <w:spacing w:line="360" w:lineRule="auto"/>
        <w:ind w:right="190"/>
        <w:jc w:val="both"/>
        <w:rPr>
          <w:rFonts w:ascii="Arial" w:hAnsi="Arial" w:cs="Arial"/>
          <w:bCs/>
        </w:rPr>
      </w:pPr>
    </w:p>
    <w:p w14:paraId="241310A8" w14:textId="2C94E81C" w:rsidR="00235244" w:rsidRDefault="00235244" w:rsidP="00235244">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w:t>
      </w:r>
      <w:r>
        <w:rPr>
          <w:rFonts w:ascii="Arial" w:hAnsi="Arial" w:cs="Arial"/>
          <w:bCs/>
        </w:rPr>
        <w:lastRenderedPageBreak/>
        <w:t>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A72B023" w14:textId="77777777" w:rsidR="00235244" w:rsidRDefault="00235244" w:rsidP="00235244">
      <w:pPr>
        <w:spacing w:line="360" w:lineRule="auto"/>
        <w:jc w:val="both"/>
        <w:rPr>
          <w:rFonts w:ascii="Arial" w:hAnsi="Arial" w:cs="Arial"/>
          <w:b/>
        </w:rPr>
      </w:pPr>
    </w:p>
    <w:p w14:paraId="6CDBDD8B" w14:textId="77777777" w:rsidR="00235244" w:rsidRPr="008D4630" w:rsidRDefault="00235244" w:rsidP="00235244">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49CF0B7E" w14:textId="77777777" w:rsidR="00235244" w:rsidRPr="00452319" w:rsidRDefault="00235244" w:rsidP="00235244">
      <w:pPr>
        <w:spacing w:line="360" w:lineRule="auto"/>
        <w:jc w:val="both"/>
        <w:rPr>
          <w:rFonts w:ascii="Arial" w:hAnsi="Arial" w:cs="Arial"/>
          <w:b/>
        </w:rPr>
      </w:pPr>
    </w:p>
    <w:p w14:paraId="1A9346C2" w14:textId="6138B758" w:rsidR="00235244" w:rsidRDefault="00235244" w:rsidP="00C142A1">
      <w:pPr>
        <w:spacing w:line="360" w:lineRule="auto"/>
        <w:ind w:right="141"/>
        <w:jc w:val="both"/>
        <w:rPr>
          <w:rFonts w:ascii="Arial" w:hAnsi="Arial" w:cs="Arial"/>
          <w:bCs/>
        </w:rPr>
      </w:pPr>
      <w:r w:rsidRPr="008A2FF9">
        <w:rPr>
          <w:rFonts w:ascii="Arial" w:hAnsi="Arial" w:cs="Arial"/>
        </w:rPr>
        <w:t xml:space="preserve">Se revisaron las </w:t>
      </w:r>
      <w:r w:rsidR="008A2FF9" w:rsidRPr="008A2FF9">
        <w:rPr>
          <w:rFonts w:ascii="Arial" w:hAnsi="Arial" w:cs="Arial"/>
        </w:rPr>
        <w:t>Direcciones de: Administración y Finanzas</w:t>
      </w:r>
      <w:r w:rsidR="00332A58">
        <w:rPr>
          <w:rFonts w:ascii="Arial" w:hAnsi="Arial" w:cs="Arial"/>
        </w:rPr>
        <w:t>;</w:t>
      </w:r>
      <w:r w:rsidR="008A2FF9" w:rsidRPr="008A2FF9">
        <w:rPr>
          <w:rFonts w:ascii="Arial" w:hAnsi="Arial" w:cs="Arial"/>
        </w:rPr>
        <w:t xml:space="preserve"> Es</w:t>
      </w:r>
      <w:r w:rsidR="00452319">
        <w:rPr>
          <w:rFonts w:ascii="Arial" w:hAnsi="Arial" w:cs="Arial"/>
        </w:rPr>
        <w:t>tudios y Proyectos de Movilidad;</w:t>
      </w:r>
      <w:r w:rsidR="008A2FF9" w:rsidRPr="008A2FF9">
        <w:rPr>
          <w:rFonts w:ascii="Arial" w:hAnsi="Arial" w:cs="Arial"/>
        </w:rPr>
        <w:t xml:space="preserve"> de Regulación, </w:t>
      </w:r>
      <w:r w:rsidR="00452319">
        <w:rPr>
          <w:rFonts w:ascii="Arial" w:hAnsi="Arial" w:cs="Arial"/>
        </w:rPr>
        <w:t>Trámites y Control de Movilidad;</w:t>
      </w:r>
      <w:r w:rsidR="008A2FF9" w:rsidRPr="008A2FF9">
        <w:rPr>
          <w:rFonts w:ascii="Arial" w:hAnsi="Arial" w:cs="Arial"/>
        </w:rPr>
        <w:t xml:space="preserve"> de Supervisió</w:t>
      </w:r>
      <w:r w:rsidR="008A2FF9">
        <w:rPr>
          <w:rFonts w:ascii="Arial" w:hAnsi="Arial" w:cs="Arial"/>
        </w:rPr>
        <w:t>n</w:t>
      </w:r>
      <w:r w:rsidR="008A2FF9" w:rsidRPr="008A2FF9">
        <w:rPr>
          <w:rFonts w:ascii="Arial" w:hAnsi="Arial" w:cs="Arial"/>
        </w:rPr>
        <w:t xml:space="preserve">, </w:t>
      </w:r>
      <w:r w:rsidR="008A2FF9">
        <w:rPr>
          <w:rFonts w:ascii="Arial" w:hAnsi="Arial" w:cs="Arial"/>
        </w:rPr>
        <w:t>I</w:t>
      </w:r>
      <w:r w:rsidR="008A2FF9" w:rsidRPr="008A2FF9">
        <w:rPr>
          <w:rFonts w:ascii="Arial" w:hAnsi="Arial" w:cs="Arial"/>
        </w:rPr>
        <w:t>nspección y Vigilan</w:t>
      </w:r>
      <w:r w:rsidR="00452319">
        <w:rPr>
          <w:rFonts w:ascii="Arial" w:hAnsi="Arial" w:cs="Arial"/>
        </w:rPr>
        <w:t>cia de Movilidad; así como los D</w:t>
      </w:r>
      <w:r w:rsidR="008A2FF9" w:rsidRPr="008A2FF9">
        <w:rPr>
          <w:rFonts w:ascii="Arial" w:hAnsi="Arial" w:cs="Arial"/>
        </w:rPr>
        <w:t>epartamentos de Control de Multas y Sanciones</w:t>
      </w:r>
      <w:r w:rsidR="00452319">
        <w:rPr>
          <w:rFonts w:ascii="Arial" w:hAnsi="Arial" w:cs="Arial"/>
        </w:rPr>
        <w:t xml:space="preserve">; </w:t>
      </w:r>
      <w:r w:rsidR="008A2FF9" w:rsidRPr="008A2FF9">
        <w:rPr>
          <w:rFonts w:ascii="Arial" w:hAnsi="Arial" w:cs="Arial"/>
        </w:rPr>
        <w:t>y de Contabilidad, Control Presupuestal y Cuenta Pública, todos del</w:t>
      </w:r>
      <w:r w:rsidRPr="008A2FF9">
        <w:rPr>
          <w:rFonts w:ascii="Arial" w:hAnsi="Arial" w:cs="Arial"/>
        </w:rPr>
        <w:t xml:space="preserve"> </w:t>
      </w:r>
      <w:r w:rsidR="00BE3D4F" w:rsidRPr="008A2FF9">
        <w:rPr>
          <w:rFonts w:ascii="Arial" w:hAnsi="Arial" w:cs="Arial"/>
          <w:b/>
          <w:bCs/>
        </w:rPr>
        <w:t>Instituto de Movilidad del Estado de Quintana Roo</w:t>
      </w:r>
      <w:r w:rsidRPr="008A2FF9">
        <w:rPr>
          <w:rFonts w:ascii="Arial" w:hAnsi="Arial" w:cs="Arial"/>
          <w:bCs/>
        </w:rPr>
        <w:t>.</w:t>
      </w:r>
    </w:p>
    <w:p w14:paraId="538586D3" w14:textId="77777777" w:rsidR="00235244" w:rsidRPr="008D4630" w:rsidRDefault="00235244" w:rsidP="00235244">
      <w:pPr>
        <w:spacing w:line="360" w:lineRule="auto"/>
        <w:jc w:val="both"/>
        <w:rPr>
          <w:rFonts w:ascii="Arial" w:hAnsi="Arial" w:cs="Arial"/>
        </w:rPr>
      </w:pPr>
    </w:p>
    <w:p w14:paraId="1030058F" w14:textId="77777777" w:rsidR="00235244" w:rsidRDefault="00235244" w:rsidP="0023524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D51E5D7" w14:textId="77777777" w:rsidR="00235244" w:rsidRPr="00662535" w:rsidRDefault="00235244" w:rsidP="00235244">
      <w:pPr>
        <w:spacing w:line="360" w:lineRule="auto"/>
        <w:jc w:val="both"/>
        <w:rPr>
          <w:rFonts w:ascii="Arial" w:hAnsi="Arial" w:cs="Arial"/>
          <w:b/>
          <w:sz w:val="20"/>
          <w:szCs w:val="20"/>
        </w:rPr>
      </w:pPr>
    </w:p>
    <w:p w14:paraId="69EB26FE" w14:textId="77777777" w:rsidR="00235244" w:rsidRPr="00C47B98" w:rsidRDefault="00235244" w:rsidP="0023524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w:t>
      </w:r>
      <w:r w:rsidRPr="00C47B98">
        <w:rPr>
          <w:rFonts w:ascii="Arial" w:hAnsi="Arial" w:cs="Arial"/>
          <w:bCs/>
        </w:rPr>
        <w:lastRenderedPageBreak/>
        <w:t xml:space="preserve">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D43DFD2" w14:textId="77777777" w:rsidR="00235244" w:rsidRPr="00662535" w:rsidRDefault="00235244" w:rsidP="00235244">
      <w:pPr>
        <w:spacing w:line="360" w:lineRule="auto"/>
        <w:jc w:val="both"/>
        <w:rPr>
          <w:rFonts w:ascii="Arial" w:hAnsi="Arial" w:cs="Arial"/>
          <w:bCs/>
          <w:sz w:val="20"/>
          <w:szCs w:val="20"/>
        </w:rPr>
      </w:pPr>
    </w:p>
    <w:p w14:paraId="2FEE7DAA" w14:textId="77777777" w:rsidR="00235244" w:rsidRPr="00C47B98" w:rsidRDefault="00235244" w:rsidP="00235244">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B57BEB1" w14:textId="77777777" w:rsidR="00235244" w:rsidRPr="00662535" w:rsidRDefault="00235244" w:rsidP="00235244">
      <w:pPr>
        <w:spacing w:line="360" w:lineRule="auto"/>
        <w:jc w:val="both"/>
        <w:rPr>
          <w:rFonts w:ascii="Arial" w:hAnsi="Arial" w:cs="Arial"/>
          <w:bCs/>
          <w:sz w:val="20"/>
          <w:szCs w:val="20"/>
        </w:rPr>
      </w:pPr>
    </w:p>
    <w:p w14:paraId="203B87A3" w14:textId="77777777" w:rsidR="00235244" w:rsidRPr="00C47B98" w:rsidRDefault="00235244" w:rsidP="00235244">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4B4F801" w14:textId="77777777" w:rsidR="00235244" w:rsidRDefault="00235244" w:rsidP="00315C6C">
      <w:pPr>
        <w:spacing w:line="360" w:lineRule="auto"/>
        <w:ind w:right="283"/>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22A0339" w14:textId="77777777" w:rsidR="00356C6D" w:rsidRPr="00315C6C" w:rsidRDefault="00356C6D" w:rsidP="00315C6C">
      <w:pPr>
        <w:spacing w:line="360" w:lineRule="auto"/>
        <w:ind w:right="283"/>
        <w:jc w:val="both"/>
        <w:rPr>
          <w:rFonts w:ascii="Arial" w:hAnsi="Arial" w:cs="Arial"/>
          <w:bCs/>
          <w:sz w:val="18"/>
          <w:szCs w:val="18"/>
        </w:rPr>
      </w:pPr>
    </w:p>
    <w:p w14:paraId="27A5A876" w14:textId="183482E4" w:rsidR="00406F79" w:rsidRDefault="00406F79" w:rsidP="00315C6C">
      <w:pPr>
        <w:spacing w:line="360" w:lineRule="auto"/>
        <w:ind w:right="283"/>
        <w:jc w:val="both"/>
        <w:rPr>
          <w:rFonts w:ascii="Arial" w:hAnsi="Arial" w:cs="Arial"/>
          <w:bCs/>
          <w:iCs/>
        </w:rPr>
      </w:pPr>
      <w:r w:rsidRPr="003027A2">
        <w:rPr>
          <w:rFonts w:ascii="Arial" w:hAnsi="Arial" w:cs="Arial"/>
          <w:bCs/>
          <w:iCs/>
        </w:rPr>
        <w:t xml:space="preserve">1. Verificar que los controles internos implementados </w:t>
      </w:r>
      <w:r w:rsidR="009A4080">
        <w:rPr>
          <w:rFonts w:ascii="Arial" w:hAnsi="Arial" w:cs="Arial"/>
          <w:bCs/>
          <w:iCs/>
        </w:rPr>
        <w:t xml:space="preserve">con respecto a los ingresos propios, </w:t>
      </w:r>
      <w:r w:rsidRPr="003027A2">
        <w:rPr>
          <w:rFonts w:ascii="Arial" w:hAnsi="Arial" w:cs="Arial"/>
          <w:bCs/>
          <w:iCs/>
        </w:rPr>
        <w:t>permitieron la adecuada gestión administrativa para el desarrollo eficiente de las operaciones y la obtención de información confiable y oportuna.</w:t>
      </w:r>
    </w:p>
    <w:p w14:paraId="318E178E" w14:textId="77777777" w:rsidR="008A2FF9" w:rsidRPr="00315C6C" w:rsidRDefault="008A2FF9" w:rsidP="00315C6C">
      <w:pPr>
        <w:spacing w:line="360" w:lineRule="auto"/>
        <w:ind w:right="283"/>
        <w:jc w:val="both"/>
        <w:rPr>
          <w:rFonts w:ascii="Arial" w:hAnsi="Arial" w:cs="Arial"/>
          <w:bCs/>
          <w:iCs/>
          <w:sz w:val="18"/>
          <w:szCs w:val="18"/>
        </w:rPr>
      </w:pPr>
    </w:p>
    <w:p w14:paraId="3E9E9A54" w14:textId="309A583C" w:rsidR="00F37EAB" w:rsidRDefault="00C45FE9" w:rsidP="00315C6C">
      <w:pPr>
        <w:spacing w:line="360" w:lineRule="auto"/>
        <w:ind w:right="283"/>
        <w:jc w:val="both"/>
        <w:rPr>
          <w:rFonts w:ascii="Arial" w:hAnsi="Arial" w:cs="Arial"/>
        </w:rPr>
      </w:pPr>
      <w:r>
        <w:rPr>
          <w:rFonts w:ascii="Arial" w:hAnsi="Arial" w:cs="Arial"/>
        </w:rPr>
        <w:t>2.</w:t>
      </w:r>
      <w:r w:rsidR="00F37EAB">
        <w:rPr>
          <w:rFonts w:ascii="Arial" w:hAnsi="Arial" w:cs="Arial"/>
        </w:rPr>
        <w:t xml:space="preserve"> </w:t>
      </w:r>
      <w:r w:rsidR="00F37EAB" w:rsidRPr="00F37EAB">
        <w:rPr>
          <w:rFonts w:ascii="Arial" w:hAnsi="Arial" w:cs="Arial"/>
        </w:rPr>
        <w:t xml:space="preserve">Constatar que los ingresos por venta de bienes y </w:t>
      </w:r>
      <w:r w:rsidR="00F37EAB">
        <w:rPr>
          <w:rFonts w:ascii="Arial" w:hAnsi="Arial" w:cs="Arial"/>
        </w:rPr>
        <w:t xml:space="preserve">prestación de </w:t>
      </w:r>
      <w:r w:rsidR="00F37EAB" w:rsidRPr="00F37EAB">
        <w:rPr>
          <w:rFonts w:ascii="Arial" w:hAnsi="Arial" w:cs="Arial"/>
        </w:rPr>
        <w:t>servicios se determinaron, justificaron, cobraron, depositaron, registraron y presentaron en los Estados Financieros</w:t>
      </w:r>
      <w:r w:rsidR="00F37EAB">
        <w:rPr>
          <w:rFonts w:ascii="Arial" w:hAnsi="Arial" w:cs="Arial"/>
        </w:rPr>
        <w:t xml:space="preserve"> contables y presupuestarios</w:t>
      </w:r>
      <w:r w:rsidR="00F37EAB" w:rsidRPr="00F37EAB">
        <w:rPr>
          <w:rFonts w:ascii="Arial" w:hAnsi="Arial" w:cs="Arial"/>
        </w:rPr>
        <w:t xml:space="preserve">, de conformidad con las disposiciones jurídicas aplicables. </w:t>
      </w:r>
    </w:p>
    <w:p w14:paraId="2C37C48C" w14:textId="77777777" w:rsidR="008A2FF9" w:rsidRPr="00315C6C" w:rsidRDefault="008A2FF9" w:rsidP="00315C6C">
      <w:pPr>
        <w:spacing w:line="360" w:lineRule="auto"/>
        <w:ind w:right="283"/>
        <w:jc w:val="both"/>
        <w:rPr>
          <w:rFonts w:ascii="Arial" w:hAnsi="Arial" w:cs="Arial"/>
          <w:sz w:val="18"/>
          <w:szCs w:val="18"/>
        </w:rPr>
      </w:pPr>
    </w:p>
    <w:p w14:paraId="34D17B37" w14:textId="64CEC874" w:rsidR="00C45FE9" w:rsidRPr="000078B9" w:rsidRDefault="00C45FE9" w:rsidP="00315C6C">
      <w:pPr>
        <w:spacing w:line="360" w:lineRule="auto"/>
        <w:ind w:right="283"/>
        <w:jc w:val="both"/>
        <w:rPr>
          <w:rFonts w:ascii="Arial" w:hAnsi="Arial" w:cs="Arial"/>
          <w:bCs/>
          <w:highlight w:val="yellow"/>
          <w:lang w:val="es-ES"/>
        </w:rPr>
      </w:pPr>
      <w:r>
        <w:rPr>
          <w:rFonts w:ascii="Arial" w:hAnsi="Arial" w:cs="Arial"/>
          <w:bCs/>
          <w:lang w:val="es-ES"/>
        </w:rPr>
        <w:lastRenderedPageBreak/>
        <w:t>3</w:t>
      </w:r>
      <w:r w:rsidRPr="000078B9">
        <w:rPr>
          <w:rFonts w:ascii="Arial" w:hAnsi="Arial" w:cs="Arial"/>
          <w:bCs/>
          <w:lang w:val="es-ES"/>
        </w:rPr>
        <w:t>. Constatar que el Instituto registró las etapas del presupuesto en las cuentas contables que, para tal efecto, establece el CONAC, las cuales en lo relativo a la Ley de Ingresos deberán reflejar: el estimado, modificado, devengado y recaudado.</w:t>
      </w:r>
    </w:p>
    <w:p w14:paraId="6370CD7C" w14:textId="77777777" w:rsidR="00C45FE9" w:rsidRPr="00315C6C" w:rsidRDefault="00C45FE9" w:rsidP="00315C6C">
      <w:pPr>
        <w:pStyle w:val="Prrafodelista"/>
        <w:spacing w:line="360" w:lineRule="auto"/>
        <w:ind w:right="283"/>
        <w:jc w:val="both"/>
        <w:rPr>
          <w:rFonts w:ascii="Arial" w:hAnsi="Arial" w:cs="Arial"/>
          <w:bCs/>
          <w:sz w:val="18"/>
          <w:szCs w:val="18"/>
          <w:lang w:val="es-ES"/>
        </w:rPr>
      </w:pPr>
    </w:p>
    <w:p w14:paraId="79880C73" w14:textId="77777777" w:rsidR="00C45FE9" w:rsidRPr="000078B9" w:rsidRDefault="00C45FE9" w:rsidP="00315C6C">
      <w:pPr>
        <w:spacing w:line="360" w:lineRule="auto"/>
        <w:ind w:right="283"/>
        <w:jc w:val="both"/>
        <w:rPr>
          <w:rFonts w:ascii="Arial" w:hAnsi="Arial" w:cs="Arial"/>
          <w:bCs/>
          <w:lang w:val="es-ES"/>
        </w:rPr>
      </w:pPr>
      <w:r w:rsidRPr="000078B9">
        <w:rPr>
          <w:rFonts w:ascii="Arial" w:hAnsi="Arial" w:cs="Arial"/>
          <w:bCs/>
          <w:lang w:val="es-ES"/>
        </w:rPr>
        <w:t>4. Revisar que los ingresos por concepto de Transferencias, Asignaciones, Subsidios y Subvenciones, y Pensiones y Jubilaciones, se hayan recaudado y registrado en la forma y términos establecidos por la normatividad.</w:t>
      </w:r>
    </w:p>
    <w:p w14:paraId="73528206" w14:textId="77777777" w:rsidR="00C45FE9" w:rsidRPr="00315C6C" w:rsidRDefault="00C45FE9" w:rsidP="008A2FF9">
      <w:pPr>
        <w:pStyle w:val="Prrafodelista"/>
        <w:spacing w:line="360" w:lineRule="auto"/>
        <w:ind w:right="190"/>
        <w:jc w:val="both"/>
        <w:rPr>
          <w:rFonts w:ascii="Arial" w:hAnsi="Arial" w:cs="Arial"/>
          <w:bCs/>
          <w:sz w:val="18"/>
          <w:szCs w:val="18"/>
          <w:lang w:val="es-ES"/>
        </w:rPr>
      </w:pPr>
    </w:p>
    <w:p w14:paraId="3F530FE6" w14:textId="3076C0AC" w:rsidR="00C45FE9" w:rsidRPr="000078B9" w:rsidRDefault="00C45FE9" w:rsidP="00315C6C">
      <w:pPr>
        <w:spacing w:line="360" w:lineRule="auto"/>
        <w:ind w:right="283"/>
        <w:jc w:val="both"/>
        <w:rPr>
          <w:rFonts w:ascii="Arial" w:hAnsi="Arial" w:cs="Arial"/>
          <w:bCs/>
          <w:lang w:val="es-ES"/>
        </w:rPr>
      </w:pPr>
      <w:r w:rsidRPr="000078B9">
        <w:rPr>
          <w:rFonts w:ascii="Arial" w:hAnsi="Arial" w:cs="Arial"/>
          <w:bCs/>
          <w:lang w:val="es-ES"/>
        </w:rPr>
        <w:t xml:space="preserve">5. </w:t>
      </w:r>
      <w:r w:rsidR="00FA75B6" w:rsidRPr="000078B9">
        <w:rPr>
          <w:rFonts w:ascii="Arial" w:hAnsi="Arial" w:cs="Arial"/>
          <w:bCs/>
          <w:lang w:val="es-ES"/>
        </w:rPr>
        <w:t>Confirmar</w:t>
      </w:r>
      <w:r w:rsidRPr="000078B9">
        <w:rPr>
          <w:rFonts w:ascii="Arial" w:hAnsi="Arial" w:cs="Arial"/>
          <w:bCs/>
          <w:lang w:val="es-ES"/>
        </w:rPr>
        <w:t xml:space="preserve"> que las modificaciones al presupuesto original estén respaldadas en los oficios de adecuación presupuestaria.</w:t>
      </w:r>
    </w:p>
    <w:p w14:paraId="368068BE" w14:textId="77777777" w:rsidR="00C45FE9" w:rsidRPr="00315C6C" w:rsidRDefault="00C45FE9" w:rsidP="00315C6C">
      <w:pPr>
        <w:spacing w:line="360" w:lineRule="auto"/>
        <w:ind w:right="283"/>
        <w:jc w:val="both"/>
        <w:rPr>
          <w:rFonts w:ascii="Arial" w:hAnsi="Arial" w:cs="Arial"/>
          <w:sz w:val="18"/>
          <w:szCs w:val="18"/>
        </w:rPr>
      </w:pPr>
    </w:p>
    <w:p w14:paraId="14603011" w14:textId="419F10C2" w:rsidR="00F37EAB" w:rsidRPr="00F37EAB" w:rsidRDefault="00C45FE9" w:rsidP="00315C6C">
      <w:pPr>
        <w:spacing w:line="360" w:lineRule="auto"/>
        <w:ind w:right="283"/>
        <w:jc w:val="both"/>
        <w:rPr>
          <w:rFonts w:ascii="Arial" w:hAnsi="Arial" w:cs="Arial"/>
          <w:color w:val="000000"/>
        </w:rPr>
      </w:pPr>
      <w:r>
        <w:rPr>
          <w:rFonts w:ascii="Arial" w:hAnsi="Arial" w:cs="Arial"/>
          <w:color w:val="000000"/>
        </w:rPr>
        <w:t>6.</w:t>
      </w:r>
      <w:r w:rsidR="003D0F26">
        <w:rPr>
          <w:rFonts w:ascii="Arial" w:hAnsi="Arial" w:cs="Arial"/>
          <w:color w:val="000000"/>
        </w:rPr>
        <w:t xml:space="preserve"> </w:t>
      </w:r>
      <w:r w:rsidR="00F37EAB" w:rsidRPr="00F37EAB">
        <w:rPr>
          <w:rFonts w:ascii="Arial" w:hAnsi="Arial" w:cs="Arial"/>
          <w:color w:val="000000"/>
        </w:rPr>
        <w:t xml:space="preserve">Verificar que los </w:t>
      </w:r>
      <w:r w:rsidR="00F145E8">
        <w:rPr>
          <w:rFonts w:ascii="Arial" w:hAnsi="Arial" w:cs="Arial"/>
          <w:color w:val="000000"/>
        </w:rPr>
        <w:t>conceptos</w:t>
      </w:r>
      <w:r w:rsidR="00F37EAB" w:rsidRPr="00F37EAB">
        <w:rPr>
          <w:rFonts w:ascii="Arial" w:hAnsi="Arial" w:cs="Arial"/>
          <w:color w:val="000000"/>
        </w:rPr>
        <w:t xml:space="preserve"> </w:t>
      </w:r>
      <w:r w:rsidR="00F145E8">
        <w:rPr>
          <w:rFonts w:ascii="Arial" w:hAnsi="Arial" w:cs="Arial"/>
          <w:color w:val="000000"/>
        </w:rPr>
        <w:t xml:space="preserve">registrados en </w:t>
      </w:r>
      <w:r w:rsidR="00F145E8" w:rsidRPr="00F37EAB">
        <w:rPr>
          <w:rFonts w:ascii="Arial" w:hAnsi="Arial" w:cs="Arial"/>
        </w:rPr>
        <w:t xml:space="preserve">ingresos por venta de bienes y </w:t>
      </w:r>
      <w:r w:rsidR="00F145E8">
        <w:rPr>
          <w:rFonts w:ascii="Arial" w:hAnsi="Arial" w:cs="Arial"/>
        </w:rPr>
        <w:t xml:space="preserve">prestación de </w:t>
      </w:r>
      <w:r w:rsidR="00F145E8" w:rsidRPr="00F37EAB">
        <w:rPr>
          <w:rFonts w:ascii="Arial" w:hAnsi="Arial" w:cs="Arial"/>
        </w:rPr>
        <w:t>servicios</w:t>
      </w:r>
      <w:r w:rsidR="00F37EAB" w:rsidRPr="00F37EAB">
        <w:rPr>
          <w:rFonts w:ascii="Arial" w:hAnsi="Arial" w:cs="Arial"/>
          <w:color w:val="000000"/>
        </w:rPr>
        <w:t xml:space="preserve">, estén apegados </w:t>
      </w:r>
      <w:r w:rsidR="00F145E8">
        <w:rPr>
          <w:rFonts w:ascii="Arial" w:hAnsi="Arial" w:cs="Arial"/>
          <w:color w:val="000000"/>
        </w:rPr>
        <w:t xml:space="preserve">al tabulador de ingresos propios vigente para el ejercicio </w:t>
      </w:r>
      <w:r w:rsidR="003D0F26">
        <w:rPr>
          <w:rFonts w:ascii="Arial" w:hAnsi="Arial" w:cs="Arial"/>
          <w:color w:val="000000"/>
        </w:rPr>
        <w:t xml:space="preserve">fiscal </w:t>
      </w:r>
      <w:r w:rsidR="00F145E8">
        <w:rPr>
          <w:rFonts w:ascii="Arial" w:hAnsi="Arial" w:cs="Arial"/>
          <w:color w:val="000000"/>
        </w:rPr>
        <w:t xml:space="preserve">2020, del Instituto de Movilidad del Estado de Quintana Roo, por concepto de cuotas de recuperación. </w:t>
      </w:r>
    </w:p>
    <w:p w14:paraId="0BFD6413" w14:textId="77777777" w:rsidR="00F37EAB" w:rsidRPr="00315C6C" w:rsidRDefault="00F37EAB" w:rsidP="008A2FF9">
      <w:pPr>
        <w:spacing w:line="360" w:lineRule="auto"/>
        <w:ind w:right="283"/>
        <w:jc w:val="both"/>
        <w:rPr>
          <w:rFonts w:ascii="Arial" w:hAnsi="Arial" w:cs="Arial"/>
          <w:bCs/>
          <w:iCs/>
          <w:sz w:val="14"/>
          <w:szCs w:val="14"/>
        </w:rPr>
      </w:pPr>
    </w:p>
    <w:p w14:paraId="73BF3FD8" w14:textId="10D853ED" w:rsidR="00DC70FB" w:rsidRPr="00974C66" w:rsidRDefault="00C45FE9" w:rsidP="00315C6C">
      <w:pPr>
        <w:shd w:val="clear" w:color="auto" w:fill="FFFFFF"/>
        <w:spacing w:line="360" w:lineRule="auto"/>
        <w:ind w:right="141"/>
        <w:jc w:val="both"/>
        <w:rPr>
          <w:rFonts w:ascii="Futura" w:hAnsi="Futura"/>
          <w:color w:val="3F3F3F"/>
        </w:rPr>
      </w:pPr>
      <w:r>
        <w:rPr>
          <w:rFonts w:ascii="Arial" w:hAnsi="Arial" w:cs="Arial"/>
          <w:bCs/>
          <w:iCs/>
        </w:rPr>
        <w:t>7.</w:t>
      </w:r>
      <w:r w:rsidR="003D0F26" w:rsidRPr="00974C66">
        <w:rPr>
          <w:rFonts w:ascii="Arial" w:hAnsi="Arial" w:cs="Arial"/>
          <w:bCs/>
          <w:iCs/>
        </w:rPr>
        <w:t xml:space="preserve"> </w:t>
      </w:r>
      <w:r w:rsidR="008A2FF9">
        <w:rPr>
          <w:rFonts w:ascii="Arial" w:hAnsi="Arial" w:cs="Arial"/>
          <w:bCs/>
          <w:iCs/>
        </w:rPr>
        <w:t>Confirmar</w:t>
      </w:r>
      <w:r w:rsidR="003D0F26" w:rsidRPr="00974C66">
        <w:rPr>
          <w:rFonts w:ascii="Arial" w:hAnsi="Arial" w:cs="Arial"/>
          <w:bCs/>
          <w:iCs/>
        </w:rPr>
        <w:t xml:space="preserve"> que el Instituto cuente con expedientes de todos los trámites y servicios que realiza, </w:t>
      </w:r>
      <w:r w:rsidR="00DC70FB" w:rsidRPr="00974C66">
        <w:rPr>
          <w:rFonts w:ascii="Arial" w:hAnsi="Arial" w:cs="Arial"/>
          <w:bCs/>
          <w:iCs/>
        </w:rPr>
        <w:t xml:space="preserve">y que </w:t>
      </w:r>
      <w:r w:rsidR="003D0F26" w:rsidRPr="00974C66">
        <w:rPr>
          <w:rFonts w:ascii="Arial" w:hAnsi="Arial" w:cs="Arial"/>
          <w:bCs/>
          <w:iCs/>
        </w:rPr>
        <w:t xml:space="preserve">estos </w:t>
      </w:r>
      <w:r w:rsidR="00DC70FB" w:rsidRPr="00974C66">
        <w:rPr>
          <w:rFonts w:ascii="Arial" w:hAnsi="Arial" w:cs="Arial"/>
          <w:bCs/>
          <w:iCs/>
        </w:rPr>
        <w:t xml:space="preserve">estén debidamente integrados </w:t>
      </w:r>
      <w:r w:rsidR="003D0F26" w:rsidRPr="00974C66">
        <w:rPr>
          <w:rFonts w:ascii="Arial" w:hAnsi="Arial" w:cs="Arial"/>
          <w:bCs/>
          <w:iCs/>
        </w:rPr>
        <w:t xml:space="preserve">con la documentación </w:t>
      </w:r>
      <w:r w:rsidR="008A2FF9">
        <w:rPr>
          <w:rFonts w:ascii="Arial" w:hAnsi="Arial" w:cs="Arial"/>
          <w:bCs/>
          <w:iCs/>
        </w:rPr>
        <w:t xml:space="preserve">establecida en la </w:t>
      </w:r>
      <w:r w:rsidR="003D0F26" w:rsidRPr="00974C66">
        <w:rPr>
          <w:rFonts w:ascii="Arial" w:hAnsi="Arial" w:cs="Arial"/>
          <w:bCs/>
          <w:iCs/>
        </w:rPr>
        <w:t>Ley de Movilidad del Estado de Quintana Roo</w:t>
      </w:r>
      <w:r w:rsidR="008A2FF9">
        <w:rPr>
          <w:rFonts w:ascii="Arial" w:hAnsi="Arial" w:cs="Arial"/>
          <w:bCs/>
          <w:iCs/>
        </w:rPr>
        <w:t xml:space="preserve"> y su Reglamento</w:t>
      </w:r>
      <w:r w:rsidR="003D0F26" w:rsidRPr="00974C66">
        <w:rPr>
          <w:rFonts w:ascii="Arial" w:hAnsi="Arial" w:cs="Arial"/>
          <w:bCs/>
          <w:iCs/>
        </w:rPr>
        <w:t>.</w:t>
      </w:r>
      <w:r w:rsidR="00DC70FB" w:rsidRPr="00974C66">
        <w:rPr>
          <w:rFonts w:ascii="Futura" w:hAnsi="Futura"/>
          <w:color w:val="3F3F3F"/>
        </w:rPr>
        <w:t xml:space="preserve"> </w:t>
      </w:r>
    </w:p>
    <w:p w14:paraId="2188BCCB" w14:textId="58BCE580" w:rsidR="00D00F76" w:rsidRPr="00662535" w:rsidRDefault="00D00F76" w:rsidP="00315C6C">
      <w:pPr>
        <w:spacing w:line="360" w:lineRule="auto"/>
        <w:ind w:right="141"/>
        <w:jc w:val="both"/>
        <w:rPr>
          <w:rFonts w:ascii="Arial" w:hAnsi="Arial" w:cs="Arial"/>
          <w:bCs/>
          <w:iCs/>
          <w:sz w:val="20"/>
          <w:szCs w:val="20"/>
        </w:rPr>
      </w:pPr>
    </w:p>
    <w:p w14:paraId="37183086" w14:textId="57296BAE" w:rsidR="00C45FE9" w:rsidRPr="00C45FE9" w:rsidRDefault="008A2FF9" w:rsidP="00315C6C">
      <w:pPr>
        <w:spacing w:line="360" w:lineRule="auto"/>
        <w:ind w:right="141"/>
        <w:jc w:val="both"/>
        <w:rPr>
          <w:rFonts w:ascii="Arial" w:hAnsi="Arial" w:cs="Arial"/>
          <w:color w:val="000000"/>
        </w:rPr>
      </w:pPr>
      <w:r>
        <w:rPr>
          <w:rFonts w:ascii="Arial" w:hAnsi="Arial" w:cs="Arial"/>
          <w:color w:val="000000"/>
        </w:rPr>
        <w:t>8</w:t>
      </w:r>
      <w:r w:rsidR="00C45FE9">
        <w:rPr>
          <w:rFonts w:ascii="Arial" w:hAnsi="Arial" w:cs="Arial"/>
          <w:color w:val="000000"/>
        </w:rPr>
        <w:t xml:space="preserve">. </w:t>
      </w:r>
      <w:r w:rsidR="00C45FE9" w:rsidRPr="00C45FE9">
        <w:rPr>
          <w:rFonts w:ascii="Arial" w:hAnsi="Arial" w:cs="Arial"/>
          <w:color w:val="000000"/>
        </w:rPr>
        <w:t>Conciliar los recursos transferidos por la Secretaría de Finanzas y Planeación del Estado de Quintana Roo, con los registros contables y presupuestarios del ente fiscalizado.</w:t>
      </w:r>
    </w:p>
    <w:p w14:paraId="53E1D8DA" w14:textId="77777777" w:rsidR="008A2FF9" w:rsidRPr="00662535" w:rsidRDefault="008A2FF9" w:rsidP="00315C6C">
      <w:pPr>
        <w:spacing w:line="360" w:lineRule="auto"/>
        <w:ind w:right="141"/>
        <w:jc w:val="both"/>
        <w:rPr>
          <w:rFonts w:ascii="Arial" w:hAnsi="Arial" w:cs="Arial"/>
          <w:bCs/>
          <w:sz w:val="20"/>
          <w:szCs w:val="20"/>
        </w:rPr>
      </w:pPr>
    </w:p>
    <w:p w14:paraId="360A505C" w14:textId="5A0383BD" w:rsidR="00C45FE9" w:rsidRPr="00C45FE9" w:rsidRDefault="008A2FF9" w:rsidP="00315C6C">
      <w:pPr>
        <w:spacing w:line="360" w:lineRule="auto"/>
        <w:ind w:right="141"/>
        <w:jc w:val="both"/>
        <w:rPr>
          <w:rFonts w:ascii="Arial" w:hAnsi="Arial" w:cs="Arial"/>
          <w:color w:val="000000"/>
        </w:rPr>
      </w:pPr>
      <w:r>
        <w:rPr>
          <w:rFonts w:ascii="Arial" w:hAnsi="Arial" w:cs="Arial"/>
          <w:bCs/>
        </w:rPr>
        <w:t>9</w:t>
      </w:r>
      <w:r w:rsidR="00C45FE9">
        <w:rPr>
          <w:rFonts w:ascii="Arial" w:hAnsi="Arial" w:cs="Arial"/>
          <w:bCs/>
        </w:rPr>
        <w:t>.</w:t>
      </w:r>
      <w:r>
        <w:rPr>
          <w:rFonts w:ascii="Arial" w:hAnsi="Arial" w:cs="Arial"/>
          <w:bCs/>
        </w:rPr>
        <w:t xml:space="preserve"> </w:t>
      </w:r>
      <w:r w:rsidR="00C45FE9" w:rsidRPr="00C45FE9">
        <w:rPr>
          <w:rFonts w:ascii="Arial" w:hAnsi="Arial" w:cs="Arial"/>
          <w:bCs/>
        </w:rPr>
        <w:t xml:space="preserve">Analizar y revisar que los registros contables y la documentación comprobatoria y justificativa de los ingresos, se hayan elaborado conforme a la normatividad existente en materia contable y presupuestal. </w:t>
      </w:r>
    </w:p>
    <w:p w14:paraId="53A7D6CF" w14:textId="77777777" w:rsidR="008A2FF9" w:rsidRPr="00662535" w:rsidRDefault="008A2FF9" w:rsidP="00315C6C">
      <w:pPr>
        <w:spacing w:line="360" w:lineRule="auto"/>
        <w:ind w:right="141"/>
        <w:jc w:val="both"/>
        <w:rPr>
          <w:rFonts w:ascii="Arial" w:hAnsi="Arial" w:cs="Arial"/>
          <w:color w:val="000000"/>
          <w:sz w:val="20"/>
          <w:szCs w:val="20"/>
        </w:rPr>
      </w:pPr>
    </w:p>
    <w:p w14:paraId="44B99E6E" w14:textId="474F98DB" w:rsidR="00C45FE9" w:rsidRPr="00C45FE9" w:rsidRDefault="008A2FF9" w:rsidP="00315C6C">
      <w:pPr>
        <w:spacing w:line="360" w:lineRule="auto"/>
        <w:ind w:right="141"/>
        <w:jc w:val="both"/>
        <w:rPr>
          <w:rFonts w:ascii="Arial" w:hAnsi="Arial" w:cs="Arial"/>
          <w:color w:val="000000"/>
        </w:rPr>
      </w:pPr>
      <w:r>
        <w:rPr>
          <w:rFonts w:ascii="Arial" w:hAnsi="Arial" w:cs="Arial"/>
          <w:color w:val="000000"/>
        </w:rPr>
        <w:t>10</w:t>
      </w:r>
      <w:r w:rsidR="00C45FE9">
        <w:rPr>
          <w:rFonts w:ascii="Arial" w:hAnsi="Arial" w:cs="Arial"/>
          <w:color w:val="000000"/>
        </w:rPr>
        <w:t xml:space="preserve">. </w:t>
      </w:r>
      <w:r w:rsidR="00C45FE9" w:rsidRPr="00C45FE9">
        <w:rPr>
          <w:rFonts w:ascii="Arial" w:hAnsi="Arial" w:cs="Arial"/>
          <w:color w:val="000000"/>
        </w:rPr>
        <w:t>Verificar que los importes que presentan las cuentas bancarias al final del ejercicio y los que se muestran en los reportes del sistema de contabilidad, corresponde a los presentados en su Cuenta Pública.</w:t>
      </w:r>
    </w:p>
    <w:p w14:paraId="0801A3DD" w14:textId="77777777" w:rsidR="00DC70FB" w:rsidRPr="00662535" w:rsidRDefault="00DC70FB" w:rsidP="00C142A1">
      <w:pPr>
        <w:spacing w:line="360" w:lineRule="auto"/>
        <w:ind w:right="141"/>
        <w:jc w:val="both"/>
        <w:rPr>
          <w:rFonts w:ascii="Arial" w:hAnsi="Arial" w:cs="Arial"/>
          <w:bCs/>
          <w:iCs/>
          <w:sz w:val="20"/>
          <w:szCs w:val="20"/>
          <w:highlight w:val="yellow"/>
        </w:rPr>
      </w:pPr>
    </w:p>
    <w:p w14:paraId="729AD3FF" w14:textId="400CA8C8" w:rsidR="008610C0" w:rsidRPr="00C47B98" w:rsidRDefault="008610C0" w:rsidP="00EE5F92">
      <w:pPr>
        <w:spacing w:line="360" w:lineRule="auto"/>
        <w:ind w:right="141"/>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Pr="00315C6C" w:rsidRDefault="00F64F30" w:rsidP="00EE5F92">
      <w:pPr>
        <w:spacing w:line="360" w:lineRule="auto"/>
        <w:ind w:right="141"/>
        <w:jc w:val="both"/>
        <w:rPr>
          <w:rFonts w:ascii="Arial" w:hAnsi="Arial" w:cs="Arial"/>
          <w:b/>
          <w:sz w:val="20"/>
          <w:szCs w:val="20"/>
          <w:highlight w:val="darkYellow"/>
        </w:rPr>
      </w:pPr>
    </w:p>
    <w:p w14:paraId="4A1FF583" w14:textId="7511ECD6" w:rsidR="00974042" w:rsidRPr="002E2A36" w:rsidRDefault="008610C0" w:rsidP="00EE5F92">
      <w:pPr>
        <w:spacing w:line="360" w:lineRule="auto"/>
        <w:ind w:right="141"/>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D00F76" w:rsidRDefault="00D1152D" w:rsidP="00EE5F92">
      <w:pPr>
        <w:spacing w:line="360" w:lineRule="auto"/>
        <w:ind w:right="141"/>
        <w:jc w:val="both"/>
        <w:rPr>
          <w:rFonts w:ascii="Arial" w:hAnsi="Arial" w:cs="Arial"/>
          <w:bCs/>
        </w:rPr>
      </w:pPr>
    </w:p>
    <w:p w14:paraId="5DE7FC59" w14:textId="63C38CFE" w:rsidR="00855650" w:rsidRDefault="00855650" w:rsidP="00EE5F92">
      <w:pPr>
        <w:spacing w:line="360" w:lineRule="auto"/>
        <w:ind w:right="14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406F79" w:rsidRPr="00FE7AA7">
        <w:rPr>
          <w:rFonts w:ascii="Arial" w:hAnsi="Arial" w:cs="Arial"/>
          <w:bCs/>
        </w:rPr>
        <w:t>ASEQROO/ASE/</w:t>
      </w:r>
      <w:r w:rsidR="00406F79" w:rsidRPr="005C7E0B">
        <w:rPr>
          <w:rFonts w:ascii="Arial" w:hAnsi="Arial" w:cs="Arial"/>
          <w:bCs/>
        </w:rPr>
        <w:t>AEMF/</w:t>
      </w:r>
      <w:r w:rsidR="005C7E0B" w:rsidRPr="005C7E0B">
        <w:rPr>
          <w:rFonts w:ascii="Arial" w:hAnsi="Arial" w:cs="Arial"/>
          <w:bCs/>
        </w:rPr>
        <w:t>1186</w:t>
      </w:r>
      <w:r w:rsidR="00406F79" w:rsidRPr="005C7E0B">
        <w:rPr>
          <w:rFonts w:ascii="Arial" w:hAnsi="Arial" w:cs="Arial"/>
          <w:bCs/>
        </w:rPr>
        <w:t>/</w:t>
      </w:r>
      <w:r w:rsidR="005539C6" w:rsidRPr="005C7E0B">
        <w:rPr>
          <w:rFonts w:ascii="Arial" w:hAnsi="Arial" w:cs="Arial"/>
          <w:bCs/>
        </w:rPr>
        <w:t>09</w:t>
      </w:r>
      <w:r w:rsidR="00406F79" w:rsidRPr="005C7E0B">
        <w:rPr>
          <w:rFonts w:ascii="Arial" w:hAnsi="Arial" w:cs="Arial"/>
          <w:bCs/>
        </w:rPr>
        <w:t>/2021</w:t>
      </w:r>
      <w:r w:rsidR="00406F79" w:rsidRPr="005539C6">
        <w:rPr>
          <w:rFonts w:ascii="Arial" w:hAnsi="Arial" w:cs="Arial"/>
          <w:bCs/>
        </w:rPr>
        <w:t>,</w:t>
      </w:r>
      <w:r w:rsidR="00406F79">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1052D541" w14:textId="6EFAA03D" w:rsidR="00CF3871" w:rsidRPr="0036763A" w:rsidRDefault="00CF3871" w:rsidP="00EE5F92">
      <w:pPr>
        <w:spacing w:line="360" w:lineRule="auto"/>
        <w:ind w:right="141"/>
        <w:jc w:val="both"/>
        <w:rPr>
          <w:rFonts w:ascii="Arial" w:hAnsi="Arial" w:cs="Arial"/>
          <w:bCs/>
          <w:sz w:val="22"/>
          <w:szCs w:val="22"/>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06F79" w:rsidRPr="00845B1A" w14:paraId="3892B032" w14:textId="77777777" w:rsidTr="00BD0009">
        <w:trPr>
          <w:tblHeader/>
          <w:jc w:val="center"/>
        </w:trPr>
        <w:tc>
          <w:tcPr>
            <w:tcW w:w="6374" w:type="dxa"/>
            <w:shd w:val="clear" w:color="auto" w:fill="D0CECE" w:themeFill="background2" w:themeFillShade="E6"/>
          </w:tcPr>
          <w:p w14:paraId="61D04203" w14:textId="77777777" w:rsidR="00406F79" w:rsidRPr="00845B1A" w:rsidRDefault="00406F79" w:rsidP="00BD0009">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0D816880" w14:textId="77777777" w:rsidR="00406F79" w:rsidRPr="00845B1A" w:rsidRDefault="00406F79" w:rsidP="00BD0009">
            <w:pPr>
              <w:spacing w:line="360" w:lineRule="auto"/>
              <w:jc w:val="center"/>
              <w:rPr>
                <w:rFonts w:ascii="Arial" w:hAnsi="Arial" w:cs="Arial"/>
                <w:b/>
                <w:bCs/>
              </w:rPr>
            </w:pPr>
            <w:r w:rsidRPr="00845B1A">
              <w:rPr>
                <w:rFonts w:ascii="Arial" w:hAnsi="Arial" w:cs="Arial"/>
                <w:b/>
                <w:bCs/>
              </w:rPr>
              <w:t>Cargo</w:t>
            </w:r>
          </w:p>
        </w:tc>
      </w:tr>
      <w:tr w:rsidR="00406F79" w:rsidRPr="00845B1A" w14:paraId="68A1DE4F" w14:textId="77777777" w:rsidTr="00BD0009">
        <w:trPr>
          <w:jc w:val="center"/>
        </w:trPr>
        <w:tc>
          <w:tcPr>
            <w:tcW w:w="6374" w:type="dxa"/>
            <w:shd w:val="clear" w:color="auto" w:fill="auto"/>
          </w:tcPr>
          <w:p w14:paraId="6E7E42C1" w14:textId="77777777" w:rsidR="00406F79" w:rsidRPr="00845B1A" w:rsidRDefault="00406F79" w:rsidP="00BD0009">
            <w:pPr>
              <w:spacing w:line="360" w:lineRule="auto"/>
              <w:rPr>
                <w:rFonts w:ascii="Arial" w:hAnsi="Arial" w:cs="Arial"/>
                <w:bCs/>
              </w:rPr>
            </w:pPr>
            <w:r>
              <w:rPr>
                <w:rFonts w:ascii="Arial" w:hAnsi="Arial" w:cs="Arial"/>
                <w:bCs/>
              </w:rPr>
              <w:t>M.E. Adelaida Hernández Marcial</w:t>
            </w:r>
          </w:p>
        </w:tc>
        <w:tc>
          <w:tcPr>
            <w:tcW w:w="2977" w:type="dxa"/>
            <w:shd w:val="clear" w:color="auto" w:fill="auto"/>
          </w:tcPr>
          <w:p w14:paraId="7CD3E916" w14:textId="77777777" w:rsidR="00406F79" w:rsidRPr="00845B1A" w:rsidRDefault="00406F79" w:rsidP="00BD0009">
            <w:pPr>
              <w:spacing w:line="360" w:lineRule="auto"/>
              <w:rPr>
                <w:rFonts w:ascii="Arial" w:hAnsi="Arial" w:cs="Arial"/>
                <w:bCs/>
              </w:rPr>
            </w:pPr>
            <w:r w:rsidRPr="00845B1A">
              <w:rPr>
                <w:rFonts w:ascii="Arial" w:hAnsi="Arial" w:cs="Arial"/>
                <w:bCs/>
              </w:rPr>
              <w:t>Coordinador</w:t>
            </w:r>
            <w:r>
              <w:rPr>
                <w:rFonts w:ascii="Arial" w:hAnsi="Arial" w:cs="Arial"/>
                <w:bCs/>
              </w:rPr>
              <w:t xml:space="preserve"> Encargado</w:t>
            </w:r>
          </w:p>
        </w:tc>
      </w:tr>
      <w:tr w:rsidR="00406F79" w:rsidRPr="00845B1A" w14:paraId="3923785F" w14:textId="77777777" w:rsidTr="00BD0009">
        <w:trPr>
          <w:jc w:val="center"/>
        </w:trPr>
        <w:tc>
          <w:tcPr>
            <w:tcW w:w="6374" w:type="dxa"/>
            <w:shd w:val="clear" w:color="auto" w:fill="auto"/>
          </w:tcPr>
          <w:p w14:paraId="24DA7D81" w14:textId="0ED777FE" w:rsidR="00406F79" w:rsidRPr="00845B1A" w:rsidRDefault="005C7E0B" w:rsidP="005C7E0B">
            <w:pPr>
              <w:spacing w:line="360" w:lineRule="auto"/>
              <w:rPr>
                <w:rFonts w:ascii="Arial" w:hAnsi="Arial" w:cs="Arial"/>
                <w:bCs/>
              </w:rPr>
            </w:pPr>
            <w:r>
              <w:rPr>
                <w:rFonts w:ascii="Arial" w:hAnsi="Arial" w:cs="Arial"/>
              </w:rPr>
              <w:t>C</w:t>
            </w:r>
            <w:r w:rsidR="008E375A">
              <w:rPr>
                <w:rFonts w:ascii="Arial" w:hAnsi="Arial" w:cs="Arial"/>
              </w:rPr>
              <w:t>.</w:t>
            </w:r>
            <w:r>
              <w:rPr>
                <w:rFonts w:ascii="Arial" w:hAnsi="Arial" w:cs="Arial"/>
              </w:rPr>
              <w:t>P</w:t>
            </w:r>
            <w:r w:rsidR="008E375A">
              <w:rPr>
                <w:rFonts w:ascii="Arial" w:hAnsi="Arial" w:cs="Arial"/>
              </w:rPr>
              <w:t>.</w:t>
            </w:r>
            <w:r>
              <w:rPr>
                <w:rFonts w:ascii="Arial" w:hAnsi="Arial" w:cs="Arial"/>
              </w:rPr>
              <w:t>A</w:t>
            </w:r>
            <w:r w:rsidR="00733F26">
              <w:rPr>
                <w:rFonts w:ascii="Arial" w:hAnsi="Arial" w:cs="Arial"/>
              </w:rPr>
              <w:t xml:space="preserve">. </w:t>
            </w:r>
            <w:r>
              <w:rPr>
                <w:rFonts w:ascii="Arial" w:hAnsi="Arial" w:cs="Arial"/>
              </w:rPr>
              <w:t>Araceli Alanís Rodrí</w:t>
            </w:r>
            <w:r w:rsidR="00BE3D4F">
              <w:rPr>
                <w:rFonts w:ascii="Arial" w:hAnsi="Arial" w:cs="Arial"/>
              </w:rPr>
              <w:t>guez</w:t>
            </w:r>
          </w:p>
        </w:tc>
        <w:tc>
          <w:tcPr>
            <w:tcW w:w="2977" w:type="dxa"/>
            <w:shd w:val="clear" w:color="auto" w:fill="auto"/>
          </w:tcPr>
          <w:p w14:paraId="6D0D7A8E" w14:textId="62FF908E" w:rsidR="00406F79" w:rsidRPr="00845B1A" w:rsidRDefault="00406F79" w:rsidP="00BE3D4F">
            <w:pPr>
              <w:spacing w:line="360" w:lineRule="auto"/>
              <w:rPr>
                <w:rFonts w:ascii="Arial" w:hAnsi="Arial" w:cs="Arial"/>
                <w:bCs/>
              </w:rPr>
            </w:pPr>
            <w:r w:rsidRPr="00845B1A">
              <w:rPr>
                <w:rFonts w:ascii="Arial" w:hAnsi="Arial" w:cs="Arial"/>
                <w:bCs/>
              </w:rPr>
              <w:t>Supervisor</w:t>
            </w:r>
            <w:r>
              <w:rPr>
                <w:rFonts w:ascii="Arial" w:hAnsi="Arial" w:cs="Arial"/>
                <w:bCs/>
              </w:rPr>
              <w:t xml:space="preserve"> </w:t>
            </w:r>
          </w:p>
        </w:tc>
      </w:tr>
    </w:tbl>
    <w:p w14:paraId="0AC8B2BB" w14:textId="7002CDA4" w:rsidR="002E1AEF" w:rsidRPr="00662535" w:rsidRDefault="002E1AEF" w:rsidP="00B93F1F">
      <w:pPr>
        <w:spacing w:line="360" w:lineRule="auto"/>
        <w:ind w:right="190"/>
        <w:jc w:val="both"/>
        <w:rPr>
          <w:rFonts w:ascii="Arial" w:hAnsi="Arial" w:cs="Arial"/>
          <w:b/>
          <w:sz w:val="26"/>
          <w:szCs w:val="26"/>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36763A" w:rsidRDefault="005E4A7A" w:rsidP="00711F68">
      <w:pPr>
        <w:spacing w:line="360" w:lineRule="auto"/>
        <w:ind w:right="48"/>
        <w:jc w:val="both"/>
        <w:rPr>
          <w:rFonts w:ascii="Arial" w:hAnsi="Arial" w:cs="Arial"/>
          <w:sz w:val="22"/>
          <w:szCs w:val="22"/>
        </w:rPr>
      </w:pPr>
    </w:p>
    <w:p w14:paraId="7A9A4284" w14:textId="1A7773B2" w:rsidR="00BC7D12" w:rsidRPr="00406F79" w:rsidRDefault="00BC7D12" w:rsidP="00BC7D12">
      <w:pPr>
        <w:tabs>
          <w:tab w:val="left" w:pos="2160"/>
        </w:tabs>
        <w:spacing w:line="360" w:lineRule="auto"/>
        <w:ind w:right="141"/>
        <w:jc w:val="both"/>
      </w:pPr>
      <w:r w:rsidRPr="00BC7D12">
        <w:rPr>
          <w:rFonts w:ascii="Arial" w:hAnsi="Arial" w:cs="Arial"/>
          <w:bCs/>
        </w:rPr>
        <w:t xml:space="preserve">La revisión se llevó a cabo aplicando Normas Profesionales de Auditoría del Sistema Nacional de Fiscalización, así como en apego a la Ley General de Contabilidad Gubernamental, Presupuesto de Ingresos del </w:t>
      </w:r>
      <w:r w:rsidR="00BE3D4F">
        <w:rPr>
          <w:rFonts w:ascii="Arial" w:hAnsi="Arial" w:cs="Arial"/>
          <w:bCs/>
        </w:rPr>
        <w:t>Instituto de Movilidad del Estado de Quintana Roo</w:t>
      </w:r>
      <w:r w:rsidRPr="00BC7D12">
        <w:rPr>
          <w:rFonts w:ascii="Arial" w:hAnsi="Arial" w:cs="Arial"/>
          <w:bCs/>
        </w:rPr>
        <w:t xml:space="preserve"> para el ejercicio fiscal 20</w:t>
      </w:r>
      <w:r>
        <w:rPr>
          <w:rFonts w:ascii="Arial" w:hAnsi="Arial" w:cs="Arial"/>
          <w:bCs/>
        </w:rPr>
        <w:t>20</w:t>
      </w:r>
      <w:r w:rsidRPr="00BC7D12">
        <w:rPr>
          <w:rFonts w:ascii="Arial" w:hAnsi="Arial" w:cs="Arial"/>
          <w:bCs/>
        </w:rPr>
        <w:t xml:space="preserve"> y lo emitido por el Consejo Nacional de Armonización Contable (CONAC), dando cumplimiento a las diversas disposiciones legales y normativas aplicables, por lo que se incluyeron pruebas a los registros de </w:t>
      </w:r>
      <w:r w:rsidRPr="00BC7D12">
        <w:rPr>
          <w:rFonts w:ascii="Arial" w:hAnsi="Arial" w:cs="Arial"/>
          <w:bCs/>
        </w:rPr>
        <w:lastRenderedPageBreak/>
        <w:t>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36763A" w:rsidRDefault="000F3999" w:rsidP="00335AD2">
      <w:pPr>
        <w:spacing w:line="360" w:lineRule="auto"/>
        <w:ind w:right="48"/>
        <w:jc w:val="both"/>
        <w:rPr>
          <w:rFonts w:ascii="Arial" w:hAnsi="Arial" w:cs="Arial"/>
          <w:sz w:val="22"/>
          <w:szCs w:val="22"/>
        </w:rPr>
      </w:pPr>
    </w:p>
    <w:p w14:paraId="0DCC42EC" w14:textId="0F51CB2C"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FEC10C1" w14:textId="77777777" w:rsidR="003F4C47" w:rsidRPr="0036763A" w:rsidRDefault="003F4C47" w:rsidP="00B93F1F">
      <w:pPr>
        <w:spacing w:line="360" w:lineRule="auto"/>
        <w:ind w:right="190"/>
        <w:jc w:val="both"/>
        <w:rPr>
          <w:rFonts w:ascii="Arial" w:hAnsi="Arial" w:cs="Arial"/>
          <w:b/>
          <w:sz w:val="22"/>
          <w:szCs w:val="22"/>
        </w:rPr>
      </w:pPr>
    </w:p>
    <w:p w14:paraId="6460A168" w14:textId="33C645C5" w:rsidR="00BC7D12" w:rsidRDefault="00BC7D12" w:rsidP="00C142A1">
      <w:pPr>
        <w:spacing w:line="360" w:lineRule="auto"/>
        <w:ind w:right="141"/>
        <w:jc w:val="both"/>
        <w:rPr>
          <w:rFonts w:ascii="Arial" w:hAnsi="Arial" w:cs="Arial"/>
          <w:bCs/>
          <w:iCs/>
          <w:shd w:val="clear" w:color="auto" w:fill="FFFFFF" w:themeFill="background1"/>
        </w:rPr>
      </w:pPr>
      <w:r w:rsidRPr="001877A0">
        <w:rPr>
          <w:rFonts w:ascii="Arial" w:hAnsi="Arial" w:cs="Arial"/>
          <w:bCs/>
          <w:iCs/>
          <w:shd w:val="clear" w:color="auto" w:fill="FFFFFF" w:themeFill="background1"/>
        </w:rPr>
        <w:t xml:space="preserve">Se constató el cumplimiento de la Ley General de Contabilidad Gubernamental, </w:t>
      </w:r>
      <w:r w:rsidRPr="001877A0">
        <w:rPr>
          <w:rFonts w:ascii="Arial" w:hAnsi="Arial" w:cs="Arial"/>
        </w:rPr>
        <w:t>Presupuesto</w:t>
      </w:r>
      <w:r w:rsidRPr="001877A0">
        <w:rPr>
          <w:rFonts w:ascii="Arial" w:hAnsi="Arial" w:cs="Arial"/>
          <w:bCs/>
          <w:iCs/>
          <w:shd w:val="clear" w:color="auto" w:fill="FFFFFF" w:themeFill="background1"/>
        </w:rPr>
        <w:t xml:space="preserve"> de Ingresos del </w:t>
      </w:r>
      <w:r w:rsidR="00BE3D4F">
        <w:rPr>
          <w:rFonts w:ascii="Arial" w:hAnsi="Arial" w:cs="Arial"/>
          <w:bCs/>
        </w:rPr>
        <w:t>Instituto de Movilidad del Estado de Quintana Roo</w:t>
      </w:r>
      <w:r w:rsidRPr="00024164">
        <w:rPr>
          <w:rFonts w:ascii="Arial" w:hAnsi="Arial" w:cs="Arial"/>
          <w:bCs/>
          <w:iCs/>
          <w:shd w:val="clear" w:color="auto" w:fill="FFFFFF" w:themeFill="background1"/>
        </w:rPr>
        <w:t xml:space="preserve"> </w:t>
      </w:r>
      <w:r w:rsidRPr="001877A0">
        <w:rPr>
          <w:rFonts w:ascii="Arial" w:hAnsi="Arial" w:cs="Arial"/>
          <w:bCs/>
          <w:iCs/>
          <w:shd w:val="clear" w:color="auto" w:fill="FFFFFF" w:themeFill="background1"/>
        </w:rPr>
        <w:t>para el ejercicio fiscal 20</w:t>
      </w:r>
      <w:r>
        <w:rPr>
          <w:rFonts w:ascii="Arial" w:hAnsi="Arial" w:cs="Arial"/>
          <w:bCs/>
          <w:iCs/>
          <w:shd w:val="clear" w:color="auto" w:fill="FFFFFF" w:themeFill="background1"/>
        </w:rPr>
        <w:t>20</w:t>
      </w:r>
      <w:r w:rsidRPr="001877A0">
        <w:rPr>
          <w:rFonts w:ascii="Arial" w:hAnsi="Arial" w:cs="Arial"/>
          <w:bCs/>
          <w:iCs/>
          <w:shd w:val="clear" w:color="auto" w:fill="FFFFFF" w:themeFill="background1"/>
        </w:rPr>
        <w:t>, así como de lo emitido por el Consejo Nacional de Armonización Contable (CONAC), y demás disposiciones legales y normativas aplicables</w:t>
      </w:r>
      <w:r w:rsidR="0036763A">
        <w:rPr>
          <w:rFonts w:ascii="Arial" w:hAnsi="Arial" w:cs="Arial"/>
          <w:bCs/>
          <w:iCs/>
          <w:shd w:val="clear" w:color="auto" w:fill="FFFFFF" w:themeFill="background1"/>
        </w:rPr>
        <w:t>.</w:t>
      </w:r>
    </w:p>
    <w:p w14:paraId="586F781F" w14:textId="29BCA17B" w:rsidR="0036763A" w:rsidRDefault="0036763A" w:rsidP="00C142A1">
      <w:pPr>
        <w:spacing w:line="360" w:lineRule="auto"/>
        <w:ind w:right="141"/>
        <w:jc w:val="both"/>
        <w:rPr>
          <w:rFonts w:ascii="Arial" w:hAnsi="Arial" w:cs="Arial"/>
          <w:bCs/>
          <w:iCs/>
          <w:shd w:val="clear" w:color="auto" w:fill="FFFFFF" w:themeFill="background1"/>
        </w:rPr>
      </w:pPr>
    </w:p>
    <w:p w14:paraId="448BBA6F" w14:textId="77777777" w:rsidR="0036763A" w:rsidRDefault="0036763A" w:rsidP="00C142A1">
      <w:pPr>
        <w:spacing w:line="360" w:lineRule="auto"/>
        <w:ind w:right="141"/>
        <w:jc w:val="both"/>
        <w:rPr>
          <w:rFonts w:ascii="Arial" w:hAnsi="Arial" w:cs="Arial"/>
          <w:bCs/>
          <w:iCs/>
          <w:shd w:val="clear" w:color="auto" w:fill="FFFFFF" w:themeFill="background1"/>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662535" w:rsidRDefault="008443FB" w:rsidP="00391B50">
      <w:pPr>
        <w:spacing w:line="360" w:lineRule="auto"/>
        <w:jc w:val="both"/>
        <w:rPr>
          <w:rFonts w:ascii="Arial" w:hAnsi="Arial" w:cs="Arial"/>
          <w:sz w:val="20"/>
          <w:szCs w:val="20"/>
        </w:rPr>
      </w:pPr>
    </w:p>
    <w:p w14:paraId="35A32CCA" w14:textId="769F1D11" w:rsidR="00761FA3" w:rsidRPr="005604F7" w:rsidRDefault="00183532" w:rsidP="00EE5F92">
      <w:pPr>
        <w:tabs>
          <w:tab w:val="left" w:pos="2160"/>
        </w:tabs>
        <w:spacing w:line="360" w:lineRule="auto"/>
        <w:ind w:right="141"/>
        <w:jc w:val="both"/>
      </w:pPr>
      <w:r w:rsidRPr="000B7BD4">
        <w:rPr>
          <w:rFonts w:ascii="Arial" w:hAnsi="Arial" w:cs="Arial"/>
        </w:rPr>
        <w:t xml:space="preserve">De conformidad con </w:t>
      </w:r>
      <w:r w:rsidRPr="00406F79">
        <w:rPr>
          <w:rFonts w:ascii="Arial" w:hAnsi="Arial" w:cs="Arial"/>
        </w:rPr>
        <w:t xml:space="preserve">los artículos 17 </w:t>
      </w:r>
      <w:r w:rsidR="00AA45C4" w:rsidRPr="00406F79">
        <w:rPr>
          <w:rFonts w:ascii="Arial" w:hAnsi="Arial" w:cs="Arial"/>
        </w:rPr>
        <w:t>fraccio</w:t>
      </w:r>
      <w:r w:rsidRPr="00406F79">
        <w:rPr>
          <w:rFonts w:ascii="Arial" w:hAnsi="Arial" w:cs="Arial"/>
        </w:rPr>
        <w:t>n</w:t>
      </w:r>
      <w:r w:rsidR="00AA45C4" w:rsidRPr="00406F79">
        <w:rPr>
          <w:rFonts w:ascii="Arial" w:hAnsi="Arial" w:cs="Arial"/>
        </w:rPr>
        <w:t>es</w:t>
      </w:r>
      <w:r w:rsidRPr="00406F79">
        <w:rPr>
          <w:rFonts w:ascii="Arial" w:hAnsi="Arial" w:cs="Arial"/>
        </w:rPr>
        <w:t xml:space="preserve"> I</w:t>
      </w:r>
      <w:r w:rsidR="00977397" w:rsidRPr="00406F79">
        <w:rPr>
          <w:rFonts w:ascii="Arial" w:hAnsi="Arial" w:cs="Arial"/>
        </w:rPr>
        <w:t xml:space="preserve"> y II</w:t>
      </w:r>
      <w:r w:rsidRPr="00406F79">
        <w:rPr>
          <w:rFonts w:ascii="Arial" w:hAnsi="Arial" w:cs="Arial"/>
        </w:rPr>
        <w:t xml:space="preserve">, </w:t>
      </w:r>
      <w:r w:rsidR="007127B3" w:rsidRPr="00406F79">
        <w:rPr>
          <w:rFonts w:ascii="Arial" w:hAnsi="Arial" w:cs="Arial"/>
        </w:rPr>
        <w:t xml:space="preserve">38, </w:t>
      </w:r>
      <w:r w:rsidR="00212E90" w:rsidRPr="00406F79">
        <w:rPr>
          <w:rFonts w:ascii="Arial" w:hAnsi="Arial" w:cs="Arial"/>
        </w:rPr>
        <w:t>41</w:t>
      </w:r>
      <w:r w:rsidR="00996A1B" w:rsidRPr="00406F79">
        <w:rPr>
          <w:rFonts w:ascii="Arial" w:hAnsi="Arial" w:cs="Arial"/>
        </w:rPr>
        <w:t xml:space="preserve"> en su segundo párrafo</w:t>
      </w:r>
      <w:r w:rsidR="00212E90" w:rsidRPr="00406F79">
        <w:rPr>
          <w:rFonts w:ascii="Arial" w:hAnsi="Arial" w:cs="Arial"/>
        </w:rPr>
        <w:t>,</w:t>
      </w:r>
      <w:r w:rsidR="00AA45C4" w:rsidRPr="00406F79">
        <w:rPr>
          <w:rFonts w:ascii="Arial" w:hAnsi="Arial" w:cs="Arial"/>
        </w:rPr>
        <w:t xml:space="preserve"> y</w:t>
      </w:r>
      <w:r w:rsidR="00212E90" w:rsidRPr="00406F79">
        <w:rPr>
          <w:rFonts w:ascii="Arial" w:hAnsi="Arial" w:cs="Arial"/>
        </w:rPr>
        <w:t xml:space="preserve"> </w:t>
      </w:r>
      <w:r w:rsidRPr="00406F79">
        <w:rPr>
          <w:rFonts w:ascii="Arial" w:hAnsi="Arial" w:cs="Arial"/>
        </w:rPr>
        <w:t>61 párrafo primero de la Ley de Fiscalización y Rendición de Cuentas del Estado de Quintana Roo</w:t>
      </w:r>
      <w:r w:rsidR="007127B3" w:rsidRPr="00406F79">
        <w:rPr>
          <w:rFonts w:ascii="Arial" w:hAnsi="Arial" w:cs="Arial"/>
        </w:rPr>
        <w:t>, 4</w:t>
      </w:r>
      <w:r w:rsidR="00DD7950" w:rsidRPr="00406F79">
        <w:rPr>
          <w:rFonts w:ascii="Arial" w:hAnsi="Arial" w:cs="Arial"/>
        </w:rPr>
        <w:t>, 8</w:t>
      </w:r>
      <w:r w:rsidR="00996A1B" w:rsidRPr="00406F79">
        <w:rPr>
          <w:rFonts w:ascii="Arial" w:hAnsi="Arial" w:cs="Arial"/>
        </w:rPr>
        <w:t xml:space="preserve"> y</w:t>
      </w:r>
      <w:r w:rsidR="007127B3" w:rsidRPr="00406F79">
        <w:rPr>
          <w:rFonts w:ascii="Arial" w:hAnsi="Arial" w:cs="Arial"/>
        </w:rPr>
        <w:t xml:space="preserve"> 9 </w:t>
      </w:r>
      <w:r w:rsidR="00AA45C4" w:rsidRPr="00406F79">
        <w:rPr>
          <w:rFonts w:ascii="Arial" w:hAnsi="Arial" w:cs="Arial"/>
        </w:rPr>
        <w:t>fracciones</w:t>
      </w:r>
      <w:r w:rsidR="007127B3" w:rsidRPr="00406F79">
        <w:rPr>
          <w:rFonts w:ascii="Arial" w:hAnsi="Arial" w:cs="Arial"/>
        </w:rPr>
        <w:t xml:space="preserve"> X, </w:t>
      </w:r>
      <w:r w:rsidR="00996A1B" w:rsidRPr="00406F79">
        <w:rPr>
          <w:rFonts w:ascii="Arial" w:hAnsi="Arial" w:cs="Arial"/>
        </w:rPr>
        <w:t xml:space="preserve">XI, </w:t>
      </w:r>
      <w:r w:rsidR="007127B3" w:rsidRPr="00406F79">
        <w:rPr>
          <w:rFonts w:ascii="Arial" w:hAnsi="Arial" w:cs="Arial"/>
        </w:rPr>
        <w:t>XVIII y XXVI</w:t>
      </w:r>
      <w:r w:rsidR="00AA45C4" w:rsidRPr="00406F79">
        <w:rPr>
          <w:rFonts w:ascii="Arial" w:hAnsi="Arial" w:cs="Arial"/>
        </w:rPr>
        <w:t>,</w:t>
      </w:r>
      <w:r w:rsidR="007127B3" w:rsidRPr="00406F79">
        <w:rPr>
          <w:rFonts w:ascii="Arial" w:hAnsi="Arial" w:cs="Arial"/>
        </w:rPr>
        <w:t xml:space="preserve"> </w:t>
      </w:r>
      <w:r w:rsidRPr="00406F79">
        <w:rPr>
          <w:rFonts w:ascii="Arial" w:hAnsi="Arial" w:cs="Arial"/>
        </w:rPr>
        <w:t xml:space="preserve">del Reglamento Interior de </w:t>
      </w:r>
      <w:r w:rsidR="005A05B5" w:rsidRPr="00406F79">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11" w:name="_Hlk11408938"/>
      <w:r w:rsidR="00AC1182" w:rsidRPr="008E375A">
        <w:rPr>
          <w:rFonts w:ascii="Arial" w:hAnsi="Arial" w:cs="Arial"/>
        </w:rPr>
        <w:t xml:space="preserve">se presentaron </w:t>
      </w:r>
      <w:bookmarkStart w:id="12" w:name="_Hlk11408885"/>
      <w:r w:rsidR="008E375A" w:rsidRPr="008E375A">
        <w:rPr>
          <w:rFonts w:ascii="Arial" w:hAnsi="Arial" w:cs="Arial"/>
          <w:b/>
        </w:rPr>
        <w:t xml:space="preserve">10 </w:t>
      </w:r>
      <w:r w:rsidR="00AC1182" w:rsidRPr="008E375A">
        <w:rPr>
          <w:rFonts w:ascii="Arial" w:hAnsi="Arial" w:cs="Arial"/>
        </w:rPr>
        <w:t xml:space="preserve">resultados </w:t>
      </w:r>
      <w:bookmarkStart w:id="13" w:name="_Hlk11360245"/>
      <w:r w:rsidR="00AC1182" w:rsidRPr="008E375A">
        <w:rPr>
          <w:rFonts w:ascii="Arial" w:hAnsi="Arial" w:cs="Arial"/>
        </w:rPr>
        <w:t xml:space="preserve">finales de auditoría </w:t>
      </w:r>
      <w:bookmarkEnd w:id="13"/>
      <w:r w:rsidR="00AC1182" w:rsidRPr="008E375A">
        <w:rPr>
          <w:rFonts w:ascii="Arial" w:hAnsi="Arial" w:cs="Arial"/>
        </w:rPr>
        <w:t xml:space="preserve">y se determinaron </w:t>
      </w:r>
      <w:r w:rsidR="008E375A" w:rsidRPr="008E375A">
        <w:rPr>
          <w:rFonts w:ascii="Arial" w:hAnsi="Arial" w:cs="Arial"/>
          <w:b/>
        </w:rPr>
        <w:t>1</w:t>
      </w:r>
      <w:r w:rsidR="000736B8">
        <w:rPr>
          <w:rFonts w:ascii="Arial" w:hAnsi="Arial" w:cs="Arial"/>
          <w:b/>
        </w:rPr>
        <w:t>4</w:t>
      </w:r>
      <w:r w:rsidR="00B03571" w:rsidRPr="008E375A">
        <w:rPr>
          <w:rFonts w:ascii="Arial" w:hAnsi="Arial" w:cs="Arial"/>
        </w:rPr>
        <w:t xml:space="preserve"> </w:t>
      </w:r>
      <w:r w:rsidR="00406F79" w:rsidRPr="008E375A">
        <w:rPr>
          <w:rFonts w:ascii="Arial" w:hAnsi="Arial" w:cs="Arial"/>
        </w:rPr>
        <w:t>observaciones</w:t>
      </w:r>
      <w:r w:rsidR="00406F79" w:rsidRPr="000736B8">
        <w:rPr>
          <w:rFonts w:ascii="Arial" w:hAnsi="Arial" w:cs="Arial"/>
        </w:rPr>
        <w:t xml:space="preserve">, de las cuales </w:t>
      </w:r>
      <w:r w:rsidR="000736B8" w:rsidRPr="000736B8">
        <w:rPr>
          <w:rFonts w:ascii="Arial" w:hAnsi="Arial" w:cs="Arial"/>
          <w:b/>
        </w:rPr>
        <w:t>1</w:t>
      </w:r>
      <w:r w:rsidR="00315C6C">
        <w:rPr>
          <w:rFonts w:ascii="Arial" w:hAnsi="Arial" w:cs="Arial"/>
          <w:b/>
        </w:rPr>
        <w:t>4</w:t>
      </w:r>
      <w:r w:rsidR="00406F79" w:rsidRPr="000736B8">
        <w:rPr>
          <w:rFonts w:ascii="Arial" w:hAnsi="Arial" w:cs="Arial"/>
        </w:rPr>
        <w:t xml:space="preserve"> fueron </w:t>
      </w:r>
      <w:r w:rsidR="00B80772" w:rsidRPr="000736B8">
        <w:rPr>
          <w:rFonts w:ascii="Arial" w:hAnsi="Arial" w:cs="Arial"/>
        </w:rPr>
        <w:t>solventadas</w:t>
      </w:r>
      <w:r w:rsidR="00B80772" w:rsidRPr="000736B8">
        <w:rPr>
          <w:rFonts w:ascii="Arial" w:hAnsi="Arial" w:cs="Arial"/>
          <w:bCs/>
        </w:rPr>
        <w:t xml:space="preserve">, </w:t>
      </w:r>
      <w:r w:rsidR="00315C6C">
        <w:rPr>
          <w:rFonts w:ascii="Arial" w:hAnsi="Arial" w:cs="Arial"/>
          <w:bCs/>
        </w:rPr>
        <w:t xml:space="preserve">sin embargo, </w:t>
      </w:r>
      <w:r w:rsidR="000736B8" w:rsidRPr="000736B8">
        <w:rPr>
          <w:rFonts w:ascii="Arial" w:hAnsi="Arial" w:cs="Arial"/>
          <w:bCs/>
        </w:rPr>
        <w:t xml:space="preserve">como medida de fortalecimiento al control interno de la entidad se </w:t>
      </w:r>
      <w:r w:rsidR="00B80772" w:rsidRPr="000736B8">
        <w:rPr>
          <w:rFonts w:ascii="Arial" w:hAnsi="Arial" w:cs="Arial"/>
        </w:rPr>
        <w:t xml:space="preserve">emitieron </w:t>
      </w:r>
      <w:r w:rsidR="00C93F8E">
        <w:rPr>
          <w:rFonts w:ascii="Arial" w:hAnsi="Arial" w:cs="Arial"/>
          <w:b/>
        </w:rPr>
        <w:t>6</w:t>
      </w:r>
      <w:r w:rsidR="00B80772" w:rsidRPr="000736B8">
        <w:rPr>
          <w:rFonts w:ascii="Arial" w:hAnsi="Arial" w:cs="Arial"/>
        </w:rPr>
        <w:t xml:space="preserve"> Recomendaciones</w:t>
      </w:r>
      <w:r w:rsidR="000736B8" w:rsidRPr="000736B8">
        <w:rPr>
          <w:rFonts w:ascii="Arial" w:hAnsi="Arial" w:cs="Arial"/>
        </w:rPr>
        <w:t>.</w:t>
      </w:r>
    </w:p>
    <w:p w14:paraId="41B549EB" w14:textId="77777777" w:rsidR="00583F73" w:rsidRDefault="00583F73" w:rsidP="00EE5F92">
      <w:pPr>
        <w:spacing w:line="360" w:lineRule="auto"/>
        <w:ind w:right="141"/>
        <w:jc w:val="both"/>
        <w:rPr>
          <w:rFonts w:ascii="Arial" w:hAnsi="Arial" w:cs="Arial"/>
        </w:rPr>
      </w:pPr>
    </w:p>
    <w:bookmarkEnd w:id="11"/>
    <w:bookmarkEnd w:id="12"/>
    <w:p w14:paraId="48F04B82" w14:textId="68B24CCF" w:rsidR="002F7D2D" w:rsidRDefault="002F7D2D" w:rsidP="00EE5F92">
      <w:pPr>
        <w:spacing w:line="360" w:lineRule="auto"/>
        <w:ind w:right="141"/>
        <w:jc w:val="both"/>
        <w:rPr>
          <w:rFonts w:ascii="Arial" w:hAnsi="Arial" w:cs="Arial"/>
          <w:b/>
        </w:rPr>
      </w:pPr>
      <w:r w:rsidRPr="00147304">
        <w:rPr>
          <w:rFonts w:ascii="Arial" w:hAnsi="Arial" w:cs="Arial"/>
          <w:b/>
        </w:rPr>
        <w:t xml:space="preserve">A. </w:t>
      </w:r>
      <w:bookmarkStart w:id="14"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4"/>
      <w:r w:rsidR="002B0048">
        <w:rPr>
          <w:rFonts w:ascii="Arial" w:hAnsi="Arial" w:cs="Arial"/>
          <w:b/>
        </w:rPr>
        <w:t xml:space="preserve">, </w:t>
      </w:r>
      <w:r w:rsidR="002B0048" w:rsidRPr="002B0048">
        <w:rPr>
          <w:rFonts w:ascii="Arial" w:hAnsi="Arial" w:cs="Arial"/>
          <w:b/>
        </w:rPr>
        <w:t>Acciones y Recomendaciones Emitidas</w:t>
      </w:r>
    </w:p>
    <w:p w14:paraId="1B398C93" w14:textId="77777777" w:rsidR="00D9360D" w:rsidRPr="008436E9" w:rsidRDefault="00D9360D" w:rsidP="00EE5F92">
      <w:pPr>
        <w:spacing w:line="360" w:lineRule="auto"/>
        <w:ind w:right="141"/>
        <w:jc w:val="both"/>
        <w:rPr>
          <w:rFonts w:ascii="Arial" w:hAnsi="Arial" w:cs="Arial"/>
          <w:b/>
        </w:rPr>
      </w:pPr>
    </w:p>
    <w:p w14:paraId="6402FB82" w14:textId="6DD62B56" w:rsidR="00640CCA" w:rsidRDefault="00640CCA" w:rsidP="00A91F32">
      <w:pPr>
        <w:spacing w:line="360" w:lineRule="auto"/>
        <w:ind w:right="141"/>
        <w:jc w:val="both"/>
        <w:rPr>
          <w:rFonts w:ascii="Arial" w:hAnsi="Arial" w:cs="Arial"/>
        </w:rPr>
      </w:pPr>
      <w:bookmarkStart w:id="15"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tbl>
      <w:tblPr>
        <w:tblStyle w:val="Tablaconcuadrcula"/>
        <w:tblW w:w="507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63"/>
        <w:gridCol w:w="3419"/>
        <w:gridCol w:w="3031"/>
        <w:gridCol w:w="1816"/>
      </w:tblGrid>
      <w:tr w:rsidR="00BE3D4F" w:rsidRPr="00BE3D4F" w14:paraId="7A5D562E" w14:textId="0562F84F" w:rsidTr="00662535">
        <w:trPr>
          <w:tblHeader/>
        </w:trPr>
        <w:tc>
          <w:tcPr>
            <w:tcW w:w="795" w:type="pct"/>
            <w:shd w:val="clear" w:color="auto" w:fill="D0CECE" w:themeFill="background2" w:themeFillShade="E6"/>
            <w:vAlign w:val="center"/>
          </w:tcPr>
          <w:bookmarkEnd w:id="15"/>
          <w:p w14:paraId="627DCC06" w14:textId="77777777" w:rsidR="00BE3D4F" w:rsidRPr="00BE3D4F" w:rsidRDefault="00BE3D4F" w:rsidP="00662535">
            <w:pPr>
              <w:spacing w:line="360" w:lineRule="auto"/>
              <w:jc w:val="center"/>
              <w:rPr>
                <w:rFonts w:ascii="Arial" w:hAnsi="Arial" w:cs="Arial"/>
                <w:b/>
                <w:sz w:val="18"/>
                <w:szCs w:val="18"/>
              </w:rPr>
            </w:pPr>
            <w:r w:rsidRPr="00BE3D4F">
              <w:rPr>
                <w:rFonts w:ascii="Arial" w:hAnsi="Arial" w:cs="Arial"/>
                <w:b/>
                <w:sz w:val="18"/>
                <w:szCs w:val="18"/>
              </w:rPr>
              <w:lastRenderedPageBreak/>
              <w:t>Referencia</w:t>
            </w:r>
          </w:p>
        </w:tc>
        <w:tc>
          <w:tcPr>
            <w:tcW w:w="1739" w:type="pct"/>
            <w:shd w:val="clear" w:color="auto" w:fill="D0CECE" w:themeFill="background2" w:themeFillShade="E6"/>
            <w:vAlign w:val="center"/>
          </w:tcPr>
          <w:p w14:paraId="0F08EC35" w14:textId="77777777" w:rsidR="00BE3D4F" w:rsidRPr="00BE3D4F" w:rsidRDefault="00BE3D4F" w:rsidP="00662535">
            <w:pPr>
              <w:spacing w:line="360" w:lineRule="auto"/>
              <w:jc w:val="center"/>
              <w:rPr>
                <w:rFonts w:ascii="Arial" w:hAnsi="Arial" w:cs="Arial"/>
                <w:b/>
                <w:sz w:val="18"/>
                <w:szCs w:val="18"/>
              </w:rPr>
            </w:pPr>
            <w:r w:rsidRPr="00BE3D4F">
              <w:rPr>
                <w:rFonts w:ascii="Arial" w:hAnsi="Arial" w:cs="Arial"/>
                <w:b/>
                <w:sz w:val="18"/>
                <w:szCs w:val="18"/>
              </w:rPr>
              <w:t>Concepto del Resultado</w:t>
            </w:r>
          </w:p>
        </w:tc>
        <w:tc>
          <w:tcPr>
            <w:tcW w:w="1542" w:type="pct"/>
            <w:shd w:val="clear" w:color="auto" w:fill="D0CECE" w:themeFill="background2" w:themeFillShade="E6"/>
            <w:vAlign w:val="center"/>
          </w:tcPr>
          <w:p w14:paraId="645A618D" w14:textId="77777777" w:rsidR="00BE3D4F" w:rsidRPr="00BE3D4F" w:rsidRDefault="00BE3D4F" w:rsidP="00662535">
            <w:pPr>
              <w:spacing w:line="360" w:lineRule="auto"/>
              <w:jc w:val="center"/>
              <w:rPr>
                <w:rFonts w:ascii="Arial" w:hAnsi="Arial" w:cs="Arial"/>
                <w:b/>
                <w:sz w:val="18"/>
                <w:szCs w:val="18"/>
              </w:rPr>
            </w:pPr>
            <w:r w:rsidRPr="00BE3D4F">
              <w:rPr>
                <w:rFonts w:ascii="Arial" w:hAnsi="Arial" w:cs="Arial"/>
                <w:b/>
                <w:sz w:val="18"/>
                <w:szCs w:val="18"/>
              </w:rPr>
              <w:t>Tipo de Observación</w:t>
            </w:r>
          </w:p>
        </w:tc>
        <w:tc>
          <w:tcPr>
            <w:tcW w:w="924" w:type="pct"/>
            <w:shd w:val="clear" w:color="auto" w:fill="D0CECE" w:themeFill="background2" w:themeFillShade="E6"/>
          </w:tcPr>
          <w:p w14:paraId="56345256" w14:textId="77777777" w:rsidR="00BE3D4F" w:rsidRPr="005D14A5" w:rsidRDefault="00BE3D4F" w:rsidP="00662535">
            <w:pPr>
              <w:spacing w:line="360" w:lineRule="auto"/>
              <w:jc w:val="center"/>
              <w:rPr>
                <w:rFonts w:ascii="Arial" w:hAnsi="Arial" w:cs="Arial"/>
                <w:b/>
                <w:bCs/>
                <w:sz w:val="18"/>
                <w:szCs w:val="18"/>
              </w:rPr>
            </w:pPr>
            <w:r w:rsidRPr="005D14A5">
              <w:rPr>
                <w:rFonts w:ascii="Arial" w:hAnsi="Arial" w:cs="Arial"/>
                <w:b/>
                <w:bCs/>
                <w:sz w:val="18"/>
                <w:szCs w:val="18"/>
              </w:rPr>
              <w:t>Monto Observado/</w:t>
            </w:r>
          </w:p>
          <w:p w14:paraId="40DCB402" w14:textId="30479FCF" w:rsidR="00BE3D4F" w:rsidRPr="005D14A5" w:rsidRDefault="00BE3D4F" w:rsidP="00662535">
            <w:pPr>
              <w:spacing w:line="360" w:lineRule="auto"/>
              <w:jc w:val="center"/>
              <w:rPr>
                <w:rFonts w:ascii="Arial" w:hAnsi="Arial" w:cs="Arial"/>
                <w:b/>
                <w:sz w:val="18"/>
                <w:szCs w:val="18"/>
              </w:rPr>
            </w:pPr>
            <w:r w:rsidRPr="005D14A5">
              <w:rPr>
                <w:rFonts w:ascii="Arial" w:hAnsi="Arial" w:cs="Arial"/>
                <w:b/>
                <w:bCs/>
                <w:sz w:val="18"/>
                <w:szCs w:val="18"/>
              </w:rPr>
              <w:t>Acciones y Recomendaciones Emitidas</w:t>
            </w:r>
          </w:p>
        </w:tc>
      </w:tr>
      <w:tr w:rsidR="00BE3D4F" w:rsidRPr="00BE3D4F" w14:paraId="7649AC34" w14:textId="6DF28B3D" w:rsidTr="00662535">
        <w:trPr>
          <w:trHeight w:val="509"/>
        </w:trPr>
        <w:tc>
          <w:tcPr>
            <w:tcW w:w="795" w:type="pct"/>
          </w:tcPr>
          <w:p w14:paraId="69C01B7E"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Resultado: 1</w:t>
            </w:r>
          </w:p>
          <w:p w14:paraId="09EBA97D"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Observación: 1</w:t>
            </w:r>
          </w:p>
        </w:tc>
        <w:tc>
          <w:tcPr>
            <w:tcW w:w="1739" w:type="pct"/>
          </w:tcPr>
          <w:p w14:paraId="30D1C56D"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Incumplimiento legal en la recaudación por multas o sanciones</w:t>
            </w:r>
          </w:p>
        </w:tc>
        <w:tc>
          <w:tcPr>
            <w:tcW w:w="1542" w:type="pct"/>
          </w:tcPr>
          <w:p w14:paraId="7A8FB618" w14:textId="77777777" w:rsidR="00BE3D4F" w:rsidRPr="00BE3D4F" w:rsidRDefault="00BE3D4F" w:rsidP="00662535">
            <w:pPr>
              <w:spacing w:line="360" w:lineRule="auto"/>
              <w:jc w:val="both"/>
              <w:rPr>
                <w:rFonts w:ascii="Arial" w:hAnsi="Arial" w:cs="Arial"/>
                <w:b/>
                <w:sz w:val="18"/>
                <w:szCs w:val="18"/>
              </w:rPr>
            </w:pPr>
            <w:r w:rsidRPr="00BE3D4F">
              <w:rPr>
                <w:rFonts w:ascii="Arial" w:hAnsi="Arial" w:cs="Arial"/>
                <w:sz w:val="18"/>
                <w:szCs w:val="18"/>
              </w:rPr>
              <w:t>(</w:t>
            </w:r>
            <w:r w:rsidRPr="00BE3D4F">
              <w:rPr>
                <w:rFonts w:ascii="Arial" w:hAnsi="Arial" w:cs="Arial"/>
                <w:color w:val="000000"/>
                <w:sz w:val="18"/>
                <w:szCs w:val="18"/>
                <w:lang w:eastAsia="es-MX"/>
              </w:rPr>
              <w:t>3J) Impuestos, derechos, productos, aprovechamientos, accesorios, actualizaciones, no cobrados</w:t>
            </w:r>
          </w:p>
        </w:tc>
        <w:tc>
          <w:tcPr>
            <w:tcW w:w="924" w:type="pct"/>
          </w:tcPr>
          <w:p w14:paraId="184C8618" w14:textId="7501C7DA" w:rsidR="005D14A5" w:rsidRDefault="000736B8" w:rsidP="005D14A5">
            <w:pPr>
              <w:spacing w:line="360" w:lineRule="auto"/>
              <w:jc w:val="right"/>
              <w:rPr>
                <w:rFonts w:ascii="Arial" w:hAnsi="Arial" w:cs="Arial"/>
                <w:sz w:val="18"/>
                <w:szCs w:val="18"/>
              </w:rPr>
            </w:pPr>
            <w:r>
              <w:rPr>
                <w:rFonts w:ascii="Arial" w:hAnsi="Arial" w:cs="Arial"/>
                <w:sz w:val="18"/>
                <w:szCs w:val="18"/>
              </w:rPr>
              <w:t>Solventado</w:t>
            </w:r>
          </w:p>
          <w:p w14:paraId="0CD48D30" w14:textId="49E2AE7B" w:rsidR="00BE3D4F" w:rsidRPr="00BE3D4F" w:rsidRDefault="005D14A5" w:rsidP="005D14A5">
            <w:pPr>
              <w:spacing w:line="360" w:lineRule="auto"/>
              <w:jc w:val="right"/>
              <w:rPr>
                <w:rFonts w:ascii="Arial" w:hAnsi="Arial" w:cs="Arial"/>
                <w:sz w:val="18"/>
                <w:szCs w:val="18"/>
              </w:rPr>
            </w:pPr>
            <w:r>
              <w:rPr>
                <w:rFonts w:ascii="Arial" w:hAnsi="Arial" w:cs="Arial"/>
                <w:sz w:val="18"/>
                <w:szCs w:val="18"/>
              </w:rPr>
              <w:t>$309,976.66</w:t>
            </w:r>
          </w:p>
        </w:tc>
      </w:tr>
      <w:tr w:rsidR="00BE3D4F" w:rsidRPr="00BE3D4F" w14:paraId="7C4B2692" w14:textId="51391ED0" w:rsidTr="00662535">
        <w:trPr>
          <w:trHeight w:val="579"/>
        </w:trPr>
        <w:tc>
          <w:tcPr>
            <w:tcW w:w="795" w:type="pct"/>
          </w:tcPr>
          <w:p w14:paraId="03603FE7"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Resultado: 2</w:t>
            </w:r>
          </w:p>
          <w:p w14:paraId="1E8041E2"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Observación: 2</w:t>
            </w:r>
          </w:p>
        </w:tc>
        <w:tc>
          <w:tcPr>
            <w:tcW w:w="1739" w:type="pct"/>
          </w:tcPr>
          <w:p w14:paraId="396C4116"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Expedientes incompletos por recaudación de multas o sanciones</w:t>
            </w:r>
          </w:p>
        </w:tc>
        <w:tc>
          <w:tcPr>
            <w:tcW w:w="1542" w:type="pct"/>
          </w:tcPr>
          <w:p w14:paraId="54848E12" w14:textId="4E958FB5" w:rsidR="00BE3D4F" w:rsidRPr="00BE3D4F" w:rsidRDefault="00BE3D4F" w:rsidP="00662535">
            <w:pPr>
              <w:spacing w:line="360" w:lineRule="auto"/>
              <w:jc w:val="both"/>
              <w:rPr>
                <w:rFonts w:ascii="Arial" w:hAnsi="Arial" w:cs="Arial"/>
                <w:b/>
                <w:sz w:val="18"/>
                <w:szCs w:val="18"/>
              </w:rPr>
            </w:pPr>
            <w:r w:rsidRPr="00BE3D4F">
              <w:rPr>
                <w:rFonts w:ascii="Arial" w:hAnsi="Arial" w:cs="Arial"/>
                <w:sz w:val="18"/>
                <w:szCs w:val="18"/>
              </w:rPr>
              <w:t>(3I) Deficiencias en el proceso de recaudación</w:t>
            </w:r>
          </w:p>
        </w:tc>
        <w:tc>
          <w:tcPr>
            <w:tcW w:w="924" w:type="pct"/>
          </w:tcPr>
          <w:p w14:paraId="399E416B" w14:textId="3E599465" w:rsidR="000736B8" w:rsidRDefault="000736B8" w:rsidP="000736B8">
            <w:pPr>
              <w:spacing w:line="360" w:lineRule="auto"/>
              <w:jc w:val="right"/>
              <w:rPr>
                <w:rFonts w:ascii="Arial" w:hAnsi="Arial" w:cs="Arial"/>
                <w:sz w:val="18"/>
                <w:szCs w:val="18"/>
              </w:rPr>
            </w:pPr>
            <w:r>
              <w:rPr>
                <w:rFonts w:ascii="Arial" w:hAnsi="Arial" w:cs="Arial"/>
                <w:sz w:val="18"/>
                <w:szCs w:val="18"/>
              </w:rPr>
              <w:t>Solventado</w:t>
            </w:r>
          </w:p>
          <w:p w14:paraId="175FEA21" w14:textId="0151AEB2" w:rsidR="00BE3D4F" w:rsidRPr="00BE3D4F" w:rsidRDefault="000736B8" w:rsidP="000736B8">
            <w:pPr>
              <w:spacing w:line="360" w:lineRule="auto"/>
              <w:jc w:val="right"/>
              <w:rPr>
                <w:rFonts w:ascii="Arial" w:hAnsi="Arial" w:cs="Arial"/>
                <w:sz w:val="18"/>
                <w:szCs w:val="18"/>
              </w:rPr>
            </w:pPr>
            <w:r>
              <w:rPr>
                <w:rFonts w:ascii="Arial" w:hAnsi="Arial" w:cs="Arial"/>
                <w:bCs/>
                <w:sz w:val="18"/>
                <w:szCs w:val="18"/>
              </w:rPr>
              <w:t>Recomendación</w:t>
            </w:r>
          </w:p>
        </w:tc>
      </w:tr>
      <w:tr w:rsidR="00BE3D4F" w:rsidRPr="00BE3D4F" w14:paraId="780F47F8" w14:textId="55A5C24A" w:rsidTr="00662535">
        <w:tc>
          <w:tcPr>
            <w:tcW w:w="795" w:type="pct"/>
          </w:tcPr>
          <w:p w14:paraId="6A13ADAA"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Resultado: 2</w:t>
            </w:r>
          </w:p>
          <w:p w14:paraId="0FFA5210"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Observación: 3</w:t>
            </w:r>
          </w:p>
        </w:tc>
        <w:tc>
          <w:tcPr>
            <w:tcW w:w="1739" w:type="pct"/>
          </w:tcPr>
          <w:p w14:paraId="112AFA98"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Expedientes incompletos por recaudación de multas o sanciones</w:t>
            </w:r>
          </w:p>
        </w:tc>
        <w:tc>
          <w:tcPr>
            <w:tcW w:w="1542" w:type="pct"/>
          </w:tcPr>
          <w:p w14:paraId="38DC5756"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(3I) Deficiencias en el proceso de recaudación</w:t>
            </w:r>
          </w:p>
        </w:tc>
        <w:tc>
          <w:tcPr>
            <w:tcW w:w="924" w:type="pct"/>
          </w:tcPr>
          <w:p w14:paraId="3C84881F" w14:textId="77777777" w:rsidR="000736B8" w:rsidRDefault="000736B8" w:rsidP="000736B8">
            <w:pPr>
              <w:spacing w:line="360" w:lineRule="auto"/>
              <w:jc w:val="right"/>
              <w:rPr>
                <w:rFonts w:ascii="Arial" w:hAnsi="Arial" w:cs="Arial"/>
                <w:sz w:val="18"/>
                <w:szCs w:val="18"/>
              </w:rPr>
            </w:pPr>
            <w:r>
              <w:rPr>
                <w:rFonts w:ascii="Arial" w:hAnsi="Arial" w:cs="Arial"/>
                <w:sz w:val="18"/>
                <w:szCs w:val="18"/>
              </w:rPr>
              <w:t>Solventado</w:t>
            </w:r>
          </w:p>
          <w:p w14:paraId="531B639A" w14:textId="77777777" w:rsidR="00BE3D4F" w:rsidRPr="00BE3D4F" w:rsidRDefault="00BE3D4F" w:rsidP="005D14A5">
            <w:pPr>
              <w:spacing w:line="360" w:lineRule="auto"/>
              <w:jc w:val="right"/>
              <w:rPr>
                <w:rFonts w:ascii="Arial" w:hAnsi="Arial" w:cs="Arial"/>
                <w:sz w:val="18"/>
                <w:szCs w:val="18"/>
              </w:rPr>
            </w:pPr>
          </w:p>
        </w:tc>
      </w:tr>
      <w:tr w:rsidR="00BE3D4F" w:rsidRPr="00BE3D4F" w14:paraId="1F39559A" w14:textId="5CC8F92A" w:rsidTr="00662535">
        <w:tc>
          <w:tcPr>
            <w:tcW w:w="795" w:type="pct"/>
          </w:tcPr>
          <w:p w14:paraId="7D48EB1A"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Resultado: 2</w:t>
            </w:r>
          </w:p>
          <w:p w14:paraId="717047F1"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Observación: 4</w:t>
            </w:r>
          </w:p>
        </w:tc>
        <w:tc>
          <w:tcPr>
            <w:tcW w:w="1739" w:type="pct"/>
          </w:tcPr>
          <w:p w14:paraId="7B84E05C"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Expedientes incompletos por recaudación de multas o sanciones</w:t>
            </w:r>
          </w:p>
        </w:tc>
        <w:tc>
          <w:tcPr>
            <w:tcW w:w="1542" w:type="pct"/>
          </w:tcPr>
          <w:p w14:paraId="33A01458"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(3I) Deficiencias en el proceso de recaudación</w:t>
            </w:r>
          </w:p>
        </w:tc>
        <w:tc>
          <w:tcPr>
            <w:tcW w:w="924" w:type="pct"/>
          </w:tcPr>
          <w:p w14:paraId="4BED9D0E" w14:textId="77777777" w:rsidR="000736B8" w:rsidRDefault="000736B8" w:rsidP="000736B8">
            <w:pPr>
              <w:spacing w:line="360" w:lineRule="auto"/>
              <w:jc w:val="right"/>
              <w:rPr>
                <w:rFonts w:ascii="Arial" w:hAnsi="Arial" w:cs="Arial"/>
                <w:sz w:val="18"/>
                <w:szCs w:val="18"/>
              </w:rPr>
            </w:pPr>
            <w:r>
              <w:rPr>
                <w:rFonts w:ascii="Arial" w:hAnsi="Arial" w:cs="Arial"/>
                <w:sz w:val="18"/>
                <w:szCs w:val="18"/>
              </w:rPr>
              <w:t>Solventado</w:t>
            </w:r>
          </w:p>
          <w:p w14:paraId="250BA184" w14:textId="77777777" w:rsidR="00BE3D4F" w:rsidRPr="00BE3D4F" w:rsidRDefault="00BE3D4F" w:rsidP="00A8065E">
            <w:pPr>
              <w:spacing w:line="360" w:lineRule="auto"/>
              <w:jc w:val="right"/>
              <w:rPr>
                <w:rFonts w:ascii="Arial" w:hAnsi="Arial" w:cs="Arial"/>
                <w:sz w:val="18"/>
                <w:szCs w:val="18"/>
              </w:rPr>
            </w:pPr>
          </w:p>
        </w:tc>
      </w:tr>
      <w:tr w:rsidR="00BE3D4F" w:rsidRPr="00BE3D4F" w14:paraId="241099CE" w14:textId="4A4015F3" w:rsidTr="00662535">
        <w:tc>
          <w:tcPr>
            <w:tcW w:w="795" w:type="pct"/>
          </w:tcPr>
          <w:p w14:paraId="7595C26B"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Resultado: 3</w:t>
            </w:r>
          </w:p>
          <w:p w14:paraId="0D507C09"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Observación: 5</w:t>
            </w:r>
          </w:p>
        </w:tc>
        <w:tc>
          <w:tcPr>
            <w:tcW w:w="1739" w:type="pct"/>
          </w:tcPr>
          <w:p w14:paraId="63B30DCE"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Expedientes con irregularidades en documentos que no están debidamente requisitados</w:t>
            </w:r>
          </w:p>
        </w:tc>
        <w:tc>
          <w:tcPr>
            <w:tcW w:w="1542" w:type="pct"/>
          </w:tcPr>
          <w:p w14:paraId="67257BF0"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(3I) Deficiencia en el proceso de recaudación</w:t>
            </w:r>
          </w:p>
        </w:tc>
        <w:tc>
          <w:tcPr>
            <w:tcW w:w="924" w:type="pct"/>
          </w:tcPr>
          <w:p w14:paraId="3B6ECDE2" w14:textId="2C4D9D77" w:rsidR="000736B8" w:rsidRDefault="000736B8" w:rsidP="000736B8">
            <w:pPr>
              <w:spacing w:line="360" w:lineRule="auto"/>
              <w:jc w:val="right"/>
              <w:rPr>
                <w:rFonts w:ascii="Arial" w:hAnsi="Arial" w:cs="Arial"/>
                <w:sz w:val="18"/>
                <w:szCs w:val="18"/>
              </w:rPr>
            </w:pPr>
            <w:r>
              <w:rPr>
                <w:rFonts w:ascii="Arial" w:hAnsi="Arial" w:cs="Arial"/>
                <w:sz w:val="18"/>
                <w:szCs w:val="18"/>
              </w:rPr>
              <w:t>Solventado</w:t>
            </w:r>
          </w:p>
          <w:p w14:paraId="389EA2DE" w14:textId="6E557B79" w:rsidR="000736B8" w:rsidRDefault="000736B8" w:rsidP="000736B8">
            <w:pPr>
              <w:spacing w:line="360" w:lineRule="auto"/>
              <w:jc w:val="right"/>
              <w:rPr>
                <w:rFonts w:ascii="Arial" w:hAnsi="Arial" w:cs="Arial"/>
                <w:sz w:val="18"/>
                <w:szCs w:val="18"/>
              </w:rPr>
            </w:pPr>
            <w:r>
              <w:rPr>
                <w:rFonts w:ascii="Arial" w:hAnsi="Arial" w:cs="Arial"/>
                <w:bCs/>
                <w:sz w:val="18"/>
                <w:szCs w:val="18"/>
              </w:rPr>
              <w:t>Recomendación</w:t>
            </w:r>
          </w:p>
          <w:p w14:paraId="1796F2AE" w14:textId="77777777" w:rsidR="00BE3D4F" w:rsidRPr="00BE3D4F" w:rsidRDefault="00BE3D4F" w:rsidP="00A8065E">
            <w:pPr>
              <w:spacing w:line="360" w:lineRule="auto"/>
              <w:jc w:val="right"/>
              <w:rPr>
                <w:rFonts w:ascii="Arial" w:hAnsi="Arial" w:cs="Arial"/>
                <w:sz w:val="18"/>
                <w:szCs w:val="18"/>
              </w:rPr>
            </w:pPr>
          </w:p>
        </w:tc>
      </w:tr>
      <w:tr w:rsidR="00BE3D4F" w:rsidRPr="00BE3D4F" w14:paraId="73D3874C" w14:textId="14E8CA2A" w:rsidTr="00662535">
        <w:tc>
          <w:tcPr>
            <w:tcW w:w="795" w:type="pct"/>
          </w:tcPr>
          <w:p w14:paraId="2BE931BA"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Resultado: 3</w:t>
            </w:r>
          </w:p>
          <w:p w14:paraId="2C2587C2"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Observación: 6</w:t>
            </w:r>
          </w:p>
        </w:tc>
        <w:tc>
          <w:tcPr>
            <w:tcW w:w="1739" w:type="pct"/>
          </w:tcPr>
          <w:p w14:paraId="36D5F97D"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Expedientes con irregularidades en documentos que no están debidamente requisitados</w:t>
            </w:r>
          </w:p>
        </w:tc>
        <w:tc>
          <w:tcPr>
            <w:tcW w:w="1542" w:type="pct"/>
          </w:tcPr>
          <w:p w14:paraId="49D10C59"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(3I) Deficiencia en el proceso de recaudación</w:t>
            </w:r>
          </w:p>
        </w:tc>
        <w:tc>
          <w:tcPr>
            <w:tcW w:w="924" w:type="pct"/>
          </w:tcPr>
          <w:p w14:paraId="2C1015E9" w14:textId="77777777" w:rsidR="000736B8" w:rsidRDefault="000736B8" w:rsidP="000736B8">
            <w:pPr>
              <w:spacing w:line="360" w:lineRule="auto"/>
              <w:jc w:val="right"/>
              <w:rPr>
                <w:rFonts w:ascii="Arial" w:hAnsi="Arial" w:cs="Arial"/>
                <w:sz w:val="18"/>
                <w:szCs w:val="18"/>
              </w:rPr>
            </w:pPr>
            <w:r>
              <w:rPr>
                <w:rFonts w:ascii="Arial" w:hAnsi="Arial" w:cs="Arial"/>
                <w:sz w:val="18"/>
                <w:szCs w:val="18"/>
              </w:rPr>
              <w:t>Solventado</w:t>
            </w:r>
          </w:p>
          <w:p w14:paraId="36F23A9C" w14:textId="77777777" w:rsidR="00A8065E" w:rsidRDefault="00A8065E" w:rsidP="00A8065E">
            <w:pPr>
              <w:spacing w:line="360" w:lineRule="auto"/>
              <w:jc w:val="right"/>
              <w:rPr>
                <w:rFonts w:ascii="Arial" w:hAnsi="Arial" w:cs="Arial"/>
                <w:sz w:val="18"/>
                <w:szCs w:val="18"/>
              </w:rPr>
            </w:pPr>
            <w:r>
              <w:rPr>
                <w:rFonts w:ascii="Arial" w:hAnsi="Arial" w:cs="Arial"/>
                <w:sz w:val="18"/>
                <w:szCs w:val="18"/>
              </w:rPr>
              <w:t>9,843.08</w:t>
            </w:r>
          </w:p>
          <w:p w14:paraId="41A075A4" w14:textId="29D09068" w:rsidR="000736B8" w:rsidRPr="00BE3D4F" w:rsidRDefault="000736B8" w:rsidP="00A8065E">
            <w:pPr>
              <w:spacing w:line="360" w:lineRule="auto"/>
              <w:jc w:val="right"/>
              <w:rPr>
                <w:rFonts w:ascii="Arial" w:hAnsi="Arial" w:cs="Arial"/>
                <w:sz w:val="18"/>
                <w:szCs w:val="18"/>
              </w:rPr>
            </w:pPr>
            <w:r>
              <w:rPr>
                <w:rFonts w:ascii="Arial" w:hAnsi="Arial" w:cs="Arial"/>
                <w:bCs/>
                <w:sz w:val="18"/>
                <w:szCs w:val="18"/>
              </w:rPr>
              <w:t>Recomendación</w:t>
            </w:r>
          </w:p>
        </w:tc>
      </w:tr>
      <w:tr w:rsidR="00BE3D4F" w:rsidRPr="00BE3D4F" w14:paraId="06625D07" w14:textId="43CDD9E3" w:rsidTr="00662535">
        <w:tc>
          <w:tcPr>
            <w:tcW w:w="795" w:type="pct"/>
          </w:tcPr>
          <w:p w14:paraId="14FA6E11"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Resultado: 4</w:t>
            </w:r>
          </w:p>
          <w:p w14:paraId="665D349A"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Observación: 7</w:t>
            </w:r>
          </w:p>
        </w:tc>
        <w:tc>
          <w:tcPr>
            <w:tcW w:w="1739" w:type="pct"/>
          </w:tcPr>
          <w:p w14:paraId="20B7DB27"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Expedientes por multas o sanciones que aún no se resuelven</w:t>
            </w:r>
          </w:p>
        </w:tc>
        <w:tc>
          <w:tcPr>
            <w:tcW w:w="1542" w:type="pct"/>
          </w:tcPr>
          <w:p w14:paraId="485F2D87"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w:t>
            </w:r>
            <w:r w:rsidRPr="00BE3D4F">
              <w:rPr>
                <w:rFonts w:ascii="Arial" w:hAnsi="Arial" w:cs="Arial"/>
                <w:color w:val="000000"/>
                <w:sz w:val="18"/>
                <w:szCs w:val="18"/>
                <w:lang w:eastAsia="es-MX"/>
              </w:rPr>
              <w:t>3I) Deficiencias en el proceso de recaudación</w:t>
            </w:r>
          </w:p>
        </w:tc>
        <w:tc>
          <w:tcPr>
            <w:tcW w:w="924" w:type="pct"/>
          </w:tcPr>
          <w:p w14:paraId="57605DA7" w14:textId="77777777" w:rsidR="000736B8" w:rsidRDefault="000736B8" w:rsidP="000736B8">
            <w:pPr>
              <w:spacing w:line="360" w:lineRule="auto"/>
              <w:jc w:val="right"/>
              <w:rPr>
                <w:rFonts w:ascii="Arial" w:hAnsi="Arial" w:cs="Arial"/>
                <w:sz w:val="18"/>
                <w:szCs w:val="18"/>
              </w:rPr>
            </w:pPr>
            <w:r>
              <w:rPr>
                <w:rFonts w:ascii="Arial" w:hAnsi="Arial" w:cs="Arial"/>
                <w:sz w:val="18"/>
                <w:szCs w:val="18"/>
              </w:rPr>
              <w:t>Solventado</w:t>
            </w:r>
          </w:p>
          <w:p w14:paraId="4B2CB3FA" w14:textId="77777777" w:rsidR="00BE3D4F" w:rsidRPr="00BE3D4F" w:rsidRDefault="00BE3D4F" w:rsidP="00A8065E">
            <w:pPr>
              <w:spacing w:line="360" w:lineRule="auto"/>
              <w:jc w:val="right"/>
              <w:rPr>
                <w:rFonts w:ascii="Arial" w:hAnsi="Arial" w:cs="Arial"/>
                <w:sz w:val="18"/>
                <w:szCs w:val="18"/>
              </w:rPr>
            </w:pPr>
          </w:p>
        </w:tc>
      </w:tr>
      <w:tr w:rsidR="00BE3D4F" w:rsidRPr="00BE3D4F" w14:paraId="7EEBB926" w14:textId="0D0167D9" w:rsidTr="00662535">
        <w:tc>
          <w:tcPr>
            <w:tcW w:w="795" w:type="pct"/>
          </w:tcPr>
          <w:p w14:paraId="069785E0"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Resultado: 5</w:t>
            </w:r>
          </w:p>
          <w:p w14:paraId="7DF79BEB"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Observación: 8</w:t>
            </w:r>
          </w:p>
        </w:tc>
        <w:tc>
          <w:tcPr>
            <w:tcW w:w="1739" w:type="pct"/>
          </w:tcPr>
          <w:p w14:paraId="1F257365"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Expedientes de los que no se lleva a cabo el registro de pasivos contingentes por demandas</w:t>
            </w:r>
          </w:p>
        </w:tc>
        <w:tc>
          <w:tcPr>
            <w:tcW w:w="1542" w:type="pct"/>
          </w:tcPr>
          <w:p w14:paraId="7AC8A841"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(5G) Juicios penales, laborales, mercantiles, civiles</w:t>
            </w:r>
          </w:p>
        </w:tc>
        <w:tc>
          <w:tcPr>
            <w:tcW w:w="924" w:type="pct"/>
          </w:tcPr>
          <w:p w14:paraId="396A4E39" w14:textId="09394544" w:rsidR="000736B8" w:rsidRDefault="000736B8" w:rsidP="000736B8">
            <w:pPr>
              <w:spacing w:line="360" w:lineRule="auto"/>
              <w:jc w:val="right"/>
              <w:rPr>
                <w:rFonts w:ascii="Arial" w:hAnsi="Arial" w:cs="Arial"/>
                <w:sz w:val="18"/>
                <w:szCs w:val="18"/>
              </w:rPr>
            </w:pPr>
            <w:r>
              <w:rPr>
                <w:rFonts w:ascii="Arial" w:hAnsi="Arial" w:cs="Arial"/>
                <w:sz w:val="18"/>
                <w:szCs w:val="18"/>
              </w:rPr>
              <w:t>Solventado</w:t>
            </w:r>
          </w:p>
          <w:p w14:paraId="7522FBFF" w14:textId="42A6CCD4" w:rsidR="000736B8" w:rsidRDefault="000736B8" w:rsidP="000736B8">
            <w:pPr>
              <w:spacing w:line="360" w:lineRule="auto"/>
              <w:jc w:val="right"/>
              <w:rPr>
                <w:rFonts w:ascii="Arial" w:hAnsi="Arial" w:cs="Arial"/>
                <w:sz w:val="18"/>
                <w:szCs w:val="18"/>
              </w:rPr>
            </w:pPr>
            <w:r>
              <w:rPr>
                <w:rFonts w:ascii="Arial" w:hAnsi="Arial" w:cs="Arial"/>
                <w:bCs/>
                <w:sz w:val="18"/>
                <w:szCs w:val="18"/>
              </w:rPr>
              <w:t>Recomendación</w:t>
            </w:r>
          </w:p>
          <w:p w14:paraId="09F9A423" w14:textId="77777777" w:rsidR="00BE3D4F" w:rsidRPr="00BE3D4F" w:rsidRDefault="00BE3D4F" w:rsidP="00A8065E">
            <w:pPr>
              <w:spacing w:line="360" w:lineRule="auto"/>
              <w:jc w:val="right"/>
              <w:rPr>
                <w:rFonts w:ascii="Arial" w:hAnsi="Arial" w:cs="Arial"/>
                <w:sz w:val="18"/>
                <w:szCs w:val="18"/>
              </w:rPr>
            </w:pPr>
          </w:p>
        </w:tc>
      </w:tr>
      <w:tr w:rsidR="00BE3D4F" w:rsidRPr="00BE3D4F" w14:paraId="4D0726FC" w14:textId="491A7DF3" w:rsidTr="00662535">
        <w:tc>
          <w:tcPr>
            <w:tcW w:w="795" w:type="pct"/>
          </w:tcPr>
          <w:p w14:paraId="342AEA9B"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Resultado: 6</w:t>
            </w:r>
          </w:p>
          <w:p w14:paraId="6D770343"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Observación: 9</w:t>
            </w:r>
          </w:p>
        </w:tc>
        <w:tc>
          <w:tcPr>
            <w:tcW w:w="1739" w:type="pct"/>
          </w:tcPr>
          <w:p w14:paraId="09C52212"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Diferencias entre registros contables y administrativos</w:t>
            </w:r>
          </w:p>
        </w:tc>
        <w:tc>
          <w:tcPr>
            <w:tcW w:w="1542" w:type="pct"/>
          </w:tcPr>
          <w:p w14:paraId="6AB8C269"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(3Ñ) Diferencias entre registros administrativos, contables y presupuestales</w:t>
            </w:r>
          </w:p>
        </w:tc>
        <w:tc>
          <w:tcPr>
            <w:tcW w:w="924" w:type="pct"/>
          </w:tcPr>
          <w:p w14:paraId="7786D3F3" w14:textId="77777777" w:rsidR="000736B8" w:rsidRDefault="000736B8" w:rsidP="000736B8">
            <w:pPr>
              <w:spacing w:line="360" w:lineRule="auto"/>
              <w:jc w:val="right"/>
              <w:rPr>
                <w:rFonts w:ascii="Arial" w:hAnsi="Arial" w:cs="Arial"/>
                <w:sz w:val="18"/>
                <w:szCs w:val="18"/>
              </w:rPr>
            </w:pPr>
            <w:r>
              <w:rPr>
                <w:rFonts w:ascii="Arial" w:hAnsi="Arial" w:cs="Arial"/>
                <w:sz w:val="18"/>
                <w:szCs w:val="18"/>
              </w:rPr>
              <w:t>Solventado</w:t>
            </w:r>
          </w:p>
          <w:p w14:paraId="5C838C02" w14:textId="77777777" w:rsidR="00BE3D4F" w:rsidRDefault="00A8065E" w:rsidP="00A8065E">
            <w:pPr>
              <w:spacing w:line="360" w:lineRule="auto"/>
              <w:jc w:val="right"/>
              <w:rPr>
                <w:rFonts w:ascii="Arial" w:hAnsi="Arial" w:cs="Arial"/>
                <w:sz w:val="18"/>
                <w:szCs w:val="18"/>
              </w:rPr>
            </w:pPr>
            <w:r>
              <w:rPr>
                <w:rFonts w:ascii="Arial" w:hAnsi="Arial" w:cs="Arial"/>
                <w:sz w:val="18"/>
                <w:szCs w:val="18"/>
              </w:rPr>
              <w:t>2,291,128.53</w:t>
            </w:r>
          </w:p>
          <w:p w14:paraId="185EA5B4" w14:textId="41AEE3BC" w:rsidR="000736B8" w:rsidRPr="00BE3D4F" w:rsidRDefault="000736B8" w:rsidP="00A8065E">
            <w:pPr>
              <w:spacing w:line="360" w:lineRule="auto"/>
              <w:jc w:val="right"/>
              <w:rPr>
                <w:rFonts w:ascii="Arial" w:hAnsi="Arial" w:cs="Arial"/>
                <w:sz w:val="18"/>
                <w:szCs w:val="18"/>
              </w:rPr>
            </w:pPr>
            <w:r>
              <w:rPr>
                <w:rFonts w:ascii="Arial" w:hAnsi="Arial" w:cs="Arial"/>
                <w:bCs/>
                <w:sz w:val="18"/>
                <w:szCs w:val="18"/>
              </w:rPr>
              <w:t>Recomendación</w:t>
            </w:r>
          </w:p>
        </w:tc>
      </w:tr>
      <w:tr w:rsidR="00BE3D4F" w:rsidRPr="00BE3D4F" w14:paraId="088D0D95" w14:textId="02079661" w:rsidTr="00662535">
        <w:tc>
          <w:tcPr>
            <w:tcW w:w="795" w:type="pct"/>
          </w:tcPr>
          <w:p w14:paraId="266F8084"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Resultado: 6</w:t>
            </w:r>
          </w:p>
          <w:p w14:paraId="1EA2222B"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Observación: 10</w:t>
            </w:r>
          </w:p>
        </w:tc>
        <w:tc>
          <w:tcPr>
            <w:tcW w:w="1739" w:type="pct"/>
          </w:tcPr>
          <w:p w14:paraId="4D0599C5"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Diferencias entre registros contables y administrativos</w:t>
            </w:r>
          </w:p>
        </w:tc>
        <w:tc>
          <w:tcPr>
            <w:tcW w:w="1542" w:type="pct"/>
          </w:tcPr>
          <w:p w14:paraId="6AE905B6"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(3Ñ) Diferencias entre registros administrativos, contables y presupuestales</w:t>
            </w:r>
          </w:p>
        </w:tc>
        <w:tc>
          <w:tcPr>
            <w:tcW w:w="924" w:type="pct"/>
          </w:tcPr>
          <w:p w14:paraId="353A2A8A" w14:textId="4E32ED9A" w:rsidR="00BE3D4F" w:rsidRDefault="00315C6C" w:rsidP="00A8065E">
            <w:pPr>
              <w:spacing w:line="360" w:lineRule="auto"/>
              <w:jc w:val="right"/>
              <w:rPr>
                <w:rFonts w:ascii="Arial" w:hAnsi="Arial" w:cs="Arial"/>
                <w:sz w:val="18"/>
                <w:szCs w:val="18"/>
              </w:rPr>
            </w:pPr>
            <w:r>
              <w:rPr>
                <w:rFonts w:ascii="Arial" w:hAnsi="Arial" w:cs="Arial"/>
                <w:sz w:val="18"/>
                <w:szCs w:val="18"/>
              </w:rPr>
              <w:t>S</w:t>
            </w:r>
            <w:r w:rsidR="000736B8">
              <w:rPr>
                <w:rFonts w:ascii="Arial" w:hAnsi="Arial" w:cs="Arial"/>
                <w:sz w:val="18"/>
                <w:szCs w:val="18"/>
              </w:rPr>
              <w:t>olventado</w:t>
            </w:r>
          </w:p>
          <w:p w14:paraId="7820AC40" w14:textId="6DF98298" w:rsidR="000736B8" w:rsidRPr="000736B8" w:rsidRDefault="000736B8" w:rsidP="00A8065E">
            <w:pPr>
              <w:spacing w:line="360" w:lineRule="auto"/>
              <w:jc w:val="right"/>
              <w:rPr>
                <w:rFonts w:ascii="Arial" w:hAnsi="Arial" w:cs="Arial"/>
                <w:sz w:val="18"/>
                <w:szCs w:val="18"/>
              </w:rPr>
            </w:pPr>
          </w:p>
        </w:tc>
      </w:tr>
      <w:tr w:rsidR="00BE3D4F" w:rsidRPr="00BE3D4F" w14:paraId="5389A173" w14:textId="187D091E" w:rsidTr="00662535">
        <w:tc>
          <w:tcPr>
            <w:tcW w:w="795" w:type="pct"/>
          </w:tcPr>
          <w:p w14:paraId="264EC75A"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Resultado: 7</w:t>
            </w:r>
          </w:p>
          <w:p w14:paraId="37428058"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Observación: 11</w:t>
            </w:r>
          </w:p>
        </w:tc>
        <w:tc>
          <w:tcPr>
            <w:tcW w:w="1739" w:type="pct"/>
          </w:tcPr>
          <w:p w14:paraId="0D426FBC"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Irregularidad en el pago de certificado vehicular</w:t>
            </w:r>
          </w:p>
        </w:tc>
        <w:tc>
          <w:tcPr>
            <w:tcW w:w="1542" w:type="pct"/>
          </w:tcPr>
          <w:p w14:paraId="48C548E0"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(3I) Deficiencia en el proceso de recaudación</w:t>
            </w:r>
          </w:p>
        </w:tc>
        <w:tc>
          <w:tcPr>
            <w:tcW w:w="924" w:type="pct"/>
          </w:tcPr>
          <w:p w14:paraId="6BD321E3" w14:textId="77777777" w:rsidR="000736B8" w:rsidRDefault="000736B8" w:rsidP="000736B8">
            <w:pPr>
              <w:spacing w:line="360" w:lineRule="auto"/>
              <w:jc w:val="right"/>
              <w:rPr>
                <w:rFonts w:ascii="Arial" w:hAnsi="Arial" w:cs="Arial"/>
                <w:sz w:val="18"/>
                <w:szCs w:val="18"/>
              </w:rPr>
            </w:pPr>
            <w:r>
              <w:rPr>
                <w:rFonts w:ascii="Arial" w:hAnsi="Arial" w:cs="Arial"/>
                <w:sz w:val="18"/>
                <w:szCs w:val="18"/>
              </w:rPr>
              <w:t>Solventado</w:t>
            </w:r>
          </w:p>
          <w:p w14:paraId="0FD383AA" w14:textId="2C152A00" w:rsidR="00BE3D4F" w:rsidRPr="00BE3D4F" w:rsidRDefault="00A8065E" w:rsidP="00A8065E">
            <w:pPr>
              <w:spacing w:line="360" w:lineRule="auto"/>
              <w:jc w:val="right"/>
              <w:rPr>
                <w:rFonts w:ascii="Arial" w:hAnsi="Arial" w:cs="Arial"/>
                <w:sz w:val="18"/>
                <w:szCs w:val="18"/>
              </w:rPr>
            </w:pPr>
            <w:r>
              <w:rPr>
                <w:rFonts w:ascii="Arial" w:hAnsi="Arial" w:cs="Arial"/>
                <w:sz w:val="18"/>
                <w:szCs w:val="18"/>
              </w:rPr>
              <w:t>641.22</w:t>
            </w:r>
          </w:p>
        </w:tc>
      </w:tr>
      <w:tr w:rsidR="00BE3D4F" w:rsidRPr="00BE3D4F" w14:paraId="7E1D4B25" w14:textId="406EDA56" w:rsidTr="00662535">
        <w:tc>
          <w:tcPr>
            <w:tcW w:w="795" w:type="pct"/>
          </w:tcPr>
          <w:p w14:paraId="62039E14"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Resultado: 8</w:t>
            </w:r>
          </w:p>
          <w:p w14:paraId="3FD45549"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Observación: 12</w:t>
            </w:r>
          </w:p>
        </w:tc>
        <w:tc>
          <w:tcPr>
            <w:tcW w:w="1739" w:type="pct"/>
          </w:tcPr>
          <w:p w14:paraId="4FD89A33"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Cobro de multa con descuento fuera del tiempo establecido</w:t>
            </w:r>
          </w:p>
        </w:tc>
        <w:tc>
          <w:tcPr>
            <w:tcW w:w="1542" w:type="pct"/>
          </w:tcPr>
          <w:p w14:paraId="43A077B6"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bCs/>
                <w:sz w:val="18"/>
                <w:szCs w:val="18"/>
              </w:rPr>
              <w:t xml:space="preserve">(3I) </w:t>
            </w:r>
            <w:r w:rsidRPr="00BE3D4F">
              <w:rPr>
                <w:rFonts w:ascii="Arial" w:hAnsi="Arial" w:cs="Arial"/>
                <w:sz w:val="18"/>
                <w:szCs w:val="18"/>
              </w:rPr>
              <w:t>Deficiencia en el proceso de recaudación</w:t>
            </w:r>
          </w:p>
        </w:tc>
        <w:tc>
          <w:tcPr>
            <w:tcW w:w="924" w:type="pct"/>
          </w:tcPr>
          <w:p w14:paraId="79D9E60F" w14:textId="77777777" w:rsidR="000736B8" w:rsidRDefault="000736B8" w:rsidP="000736B8">
            <w:pPr>
              <w:spacing w:line="360" w:lineRule="auto"/>
              <w:jc w:val="right"/>
              <w:rPr>
                <w:rFonts w:ascii="Arial" w:hAnsi="Arial" w:cs="Arial"/>
                <w:sz w:val="18"/>
                <w:szCs w:val="18"/>
              </w:rPr>
            </w:pPr>
            <w:r>
              <w:rPr>
                <w:rFonts w:ascii="Arial" w:hAnsi="Arial" w:cs="Arial"/>
                <w:sz w:val="18"/>
                <w:szCs w:val="18"/>
              </w:rPr>
              <w:t>Solventado</w:t>
            </w:r>
          </w:p>
          <w:p w14:paraId="11667B89" w14:textId="77777777" w:rsidR="00A8065E" w:rsidRDefault="00A8065E" w:rsidP="00A8065E">
            <w:pPr>
              <w:spacing w:line="360" w:lineRule="auto"/>
              <w:jc w:val="right"/>
              <w:rPr>
                <w:rFonts w:ascii="Arial" w:hAnsi="Arial" w:cs="Arial"/>
                <w:bCs/>
                <w:sz w:val="18"/>
                <w:szCs w:val="18"/>
              </w:rPr>
            </w:pPr>
            <w:r>
              <w:rPr>
                <w:rFonts w:ascii="Arial" w:hAnsi="Arial" w:cs="Arial"/>
                <w:bCs/>
                <w:sz w:val="18"/>
                <w:szCs w:val="18"/>
              </w:rPr>
              <w:t>20,851.20</w:t>
            </w:r>
          </w:p>
          <w:p w14:paraId="77BAFD51" w14:textId="0EA4B46F" w:rsidR="000736B8" w:rsidRPr="00BE3D4F" w:rsidRDefault="000736B8" w:rsidP="00A8065E">
            <w:pPr>
              <w:spacing w:line="360" w:lineRule="auto"/>
              <w:jc w:val="right"/>
              <w:rPr>
                <w:rFonts w:ascii="Arial" w:hAnsi="Arial" w:cs="Arial"/>
                <w:bCs/>
                <w:sz w:val="18"/>
                <w:szCs w:val="18"/>
              </w:rPr>
            </w:pPr>
            <w:r>
              <w:rPr>
                <w:rFonts w:ascii="Arial" w:hAnsi="Arial" w:cs="Arial"/>
                <w:bCs/>
                <w:sz w:val="18"/>
                <w:szCs w:val="18"/>
              </w:rPr>
              <w:t>Recomendación</w:t>
            </w:r>
          </w:p>
        </w:tc>
      </w:tr>
      <w:tr w:rsidR="00BE3D4F" w:rsidRPr="00BE3D4F" w14:paraId="0BDE40D8" w14:textId="5B94F1BA" w:rsidTr="00662535">
        <w:tc>
          <w:tcPr>
            <w:tcW w:w="795" w:type="pct"/>
          </w:tcPr>
          <w:p w14:paraId="44D8B5F7"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lastRenderedPageBreak/>
              <w:t>Resultado: 9</w:t>
            </w:r>
          </w:p>
          <w:p w14:paraId="48C99162"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Observación: 13</w:t>
            </w:r>
          </w:p>
        </w:tc>
        <w:tc>
          <w:tcPr>
            <w:tcW w:w="1739" w:type="pct"/>
          </w:tcPr>
          <w:p w14:paraId="77DB2F78"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Inadecuado registro contable por concepto de donaciones</w:t>
            </w:r>
          </w:p>
        </w:tc>
        <w:tc>
          <w:tcPr>
            <w:tcW w:w="1542" w:type="pct"/>
          </w:tcPr>
          <w:p w14:paraId="2EB90AC0"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(4B) Operaciones o bienes no registrados o registrados errónea o extemporáneamente</w:t>
            </w:r>
          </w:p>
        </w:tc>
        <w:tc>
          <w:tcPr>
            <w:tcW w:w="924" w:type="pct"/>
          </w:tcPr>
          <w:p w14:paraId="3C1779E4" w14:textId="77777777" w:rsidR="000736B8" w:rsidRDefault="000736B8" w:rsidP="000736B8">
            <w:pPr>
              <w:spacing w:line="360" w:lineRule="auto"/>
              <w:jc w:val="right"/>
              <w:rPr>
                <w:rFonts w:ascii="Arial" w:hAnsi="Arial" w:cs="Arial"/>
                <w:sz w:val="18"/>
                <w:szCs w:val="18"/>
              </w:rPr>
            </w:pPr>
            <w:r>
              <w:rPr>
                <w:rFonts w:ascii="Arial" w:hAnsi="Arial" w:cs="Arial"/>
                <w:sz w:val="18"/>
                <w:szCs w:val="18"/>
              </w:rPr>
              <w:t>Solventado</w:t>
            </w:r>
          </w:p>
          <w:p w14:paraId="7C0A5C96" w14:textId="77777777" w:rsidR="00BE3D4F" w:rsidRPr="00BE3D4F" w:rsidRDefault="00BE3D4F" w:rsidP="00A8065E">
            <w:pPr>
              <w:spacing w:line="360" w:lineRule="auto"/>
              <w:jc w:val="right"/>
              <w:rPr>
                <w:rFonts w:ascii="Arial" w:hAnsi="Arial" w:cs="Arial"/>
                <w:sz w:val="18"/>
                <w:szCs w:val="18"/>
              </w:rPr>
            </w:pPr>
          </w:p>
        </w:tc>
      </w:tr>
      <w:tr w:rsidR="00BE3D4F" w:rsidRPr="00BE3D4F" w14:paraId="29ECF4BC" w14:textId="348ED589" w:rsidTr="00A8065E">
        <w:tc>
          <w:tcPr>
            <w:tcW w:w="795" w:type="pct"/>
          </w:tcPr>
          <w:p w14:paraId="686A50D2"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Resultado: 10</w:t>
            </w:r>
          </w:p>
          <w:p w14:paraId="51AB6486" w14:textId="77777777" w:rsidR="00BE3D4F" w:rsidRPr="00BE3D4F" w:rsidRDefault="00BE3D4F" w:rsidP="00662535">
            <w:pPr>
              <w:spacing w:line="360" w:lineRule="auto"/>
              <w:rPr>
                <w:rFonts w:ascii="Arial" w:hAnsi="Arial" w:cs="Arial"/>
                <w:sz w:val="18"/>
                <w:szCs w:val="18"/>
              </w:rPr>
            </w:pPr>
            <w:r w:rsidRPr="00BE3D4F">
              <w:rPr>
                <w:rFonts w:ascii="Arial" w:hAnsi="Arial" w:cs="Arial"/>
                <w:sz w:val="18"/>
                <w:szCs w:val="18"/>
              </w:rPr>
              <w:t>Observación: 14</w:t>
            </w:r>
          </w:p>
        </w:tc>
        <w:tc>
          <w:tcPr>
            <w:tcW w:w="1739" w:type="pct"/>
          </w:tcPr>
          <w:p w14:paraId="373C5986"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Comprobantes fiscales realizados de forma extemporánea</w:t>
            </w:r>
          </w:p>
        </w:tc>
        <w:tc>
          <w:tcPr>
            <w:tcW w:w="1542" w:type="pct"/>
          </w:tcPr>
          <w:p w14:paraId="2143324A" w14:textId="77777777" w:rsidR="00BE3D4F" w:rsidRPr="00BE3D4F" w:rsidRDefault="00BE3D4F" w:rsidP="00662535">
            <w:pPr>
              <w:spacing w:line="360" w:lineRule="auto"/>
              <w:jc w:val="both"/>
              <w:rPr>
                <w:rFonts w:ascii="Arial" w:hAnsi="Arial" w:cs="Arial"/>
                <w:sz w:val="18"/>
                <w:szCs w:val="18"/>
              </w:rPr>
            </w:pPr>
            <w:r w:rsidRPr="00BE3D4F">
              <w:rPr>
                <w:rFonts w:ascii="Arial" w:hAnsi="Arial" w:cs="Arial"/>
                <w:sz w:val="18"/>
                <w:szCs w:val="18"/>
              </w:rPr>
              <w:t>(3I) Deficiencia en el proceso de recaudación</w:t>
            </w:r>
          </w:p>
        </w:tc>
        <w:tc>
          <w:tcPr>
            <w:tcW w:w="924" w:type="pct"/>
            <w:tcBorders>
              <w:bottom w:val="single" w:sz="4" w:space="0" w:color="auto"/>
            </w:tcBorders>
          </w:tcPr>
          <w:p w14:paraId="68A254CF" w14:textId="77777777" w:rsidR="000736B8" w:rsidRDefault="000736B8" w:rsidP="000736B8">
            <w:pPr>
              <w:spacing w:line="360" w:lineRule="auto"/>
              <w:jc w:val="right"/>
              <w:rPr>
                <w:rFonts w:ascii="Arial" w:hAnsi="Arial" w:cs="Arial"/>
                <w:sz w:val="18"/>
                <w:szCs w:val="18"/>
              </w:rPr>
            </w:pPr>
            <w:r>
              <w:rPr>
                <w:rFonts w:ascii="Arial" w:hAnsi="Arial" w:cs="Arial"/>
                <w:sz w:val="18"/>
                <w:szCs w:val="18"/>
              </w:rPr>
              <w:t>Solventado</w:t>
            </w:r>
          </w:p>
          <w:p w14:paraId="66A2CA19" w14:textId="77777777" w:rsidR="00BE3D4F" w:rsidRPr="00BE3D4F" w:rsidRDefault="00BE3D4F" w:rsidP="00A8065E">
            <w:pPr>
              <w:spacing w:line="360" w:lineRule="auto"/>
              <w:jc w:val="right"/>
              <w:rPr>
                <w:rFonts w:ascii="Arial" w:hAnsi="Arial" w:cs="Arial"/>
                <w:sz w:val="18"/>
                <w:szCs w:val="18"/>
              </w:rPr>
            </w:pPr>
          </w:p>
        </w:tc>
      </w:tr>
      <w:tr w:rsidR="00A8065E" w:rsidRPr="00BE3D4F" w14:paraId="4806DE70" w14:textId="77777777" w:rsidTr="00A8065E">
        <w:tc>
          <w:tcPr>
            <w:tcW w:w="795" w:type="pct"/>
          </w:tcPr>
          <w:p w14:paraId="18ACF18F" w14:textId="77777777" w:rsidR="00A8065E" w:rsidRPr="00BE3D4F" w:rsidRDefault="00A8065E" w:rsidP="00662535">
            <w:pPr>
              <w:spacing w:line="360" w:lineRule="auto"/>
              <w:rPr>
                <w:rFonts w:ascii="Arial" w:hAnsi="Arial" w:cs="Arial"/>
                <w:sz w:val="18"/>
                <w:szCs w:val="18"/>
              </w:rPr>
            </w:pPr>
          </w:p>
        </w:tc>
        <w:tc>
          <w:tcPr>
            <w:tcW w:w="1739" w:type="pct"/>
          </w:tcPr>
          <w:p w14:paraId="3DBBC714" w14:textId="77777777" w:rsidR="00A8065E" w:rsidRPr="00BE3D4F" w:rsidRDefault="00A8065E" w:rsidP="00662535">
            <w:pPr>
              <w:spacing w:line="360" w:lineRule="auto"/>
              <w:jc w:val="both"/>
              <w:rPr>
                <w:rFonts w:ascii="Arial" w:hAnsi="Arial" w:cs="Arial"/>
                <w:sz w:val="18"/>
                <w:szCs w:val="18"/>
              </w:rPr>
            </w:pPr>
          </w:p>
        </w:tc>
        <w:tc>
          <w:tcPr>
            <w:tcW w:w="1542" w:type="pct"/>
          </w:tcPr>
          <w:p w14:paraId="67D112B8" w14:textId="40E29DFB" w:rsidR="00A8065E" w:rsidRPr="00A8065E" w:rsidRDefault="00A8065E" w:rsidP="00A8065E">
            <w:pPr>
              <w:spacing w:line="360" w:lineRule="auto"/>
              <w:jc w:val="right"/>
              <w:rPr>
                <w:rFonts w:ascii="Arial" w:hAnsi="Arial" w:cs="Arial"/>
                <w:b/>
                <w:sz w:val="18"/>
                <w:szCs w:val="18"/>
              </w:rPr>
            </w:pPr>
            <w:r w:rsidRPr="00A8065E">
              <w:rPr>
                <w:rFonts w:ascii="Arial" w:hAnsi="Arial" w:cs="Arial"/>
                <w:b/>
                <w:sz w:val="18"/>
                <w:szCs w:val="18"/>
              </w:rPr>
              <w:t>Total</w:t>
            </w:r>
          </w:p>
        </w:tc>
        <w:tc>
          <w:tcPr>
            <w:tcW w:w="924" w:type="pct"/>
            <w:tcBorders>
              <w:top w:val="single" w:sz="4" w:space="0" w:color="auto"/>
              <w:bottom w:val="double" w:sz="4" w:space="0" w:color="auto"/>
            </w:tcBorders>
          </w:tcPr>
          <w:p w14:paraId="5AC80F7C" w14:textId="05106DA7" w:rsidR="00A8065E" w:rsidRPr="00A8065E" w:rsidRDefault="00A8065E" w:rsidP="00A8065E">
            <w:pPr>
              <w:spacing w:line="360" w:lineRule="auto"/>
              <w:jc w:val="right"/>
              <w:rPr>
                <w:rFonts w:ascii="Arial" w:hAnsi="Arial" w:cs="Arial"/>
                <w:b/>
                <w:sz w:val="18"/>
                <w:szCs w:val="18"/>
              </w:rPr>
            </w:pPr>
            <w:r w:rsidRPr="00A8065E">
              <w:rPr>
                <w:rFonts w:ascii="Arial" w:hAnsi="Arial" w:cs="Arial"/>
                <w:b/>
                <w:sz w:val="18"/>
                <w:szCs w:val="18"/>
              </w:rPr>
              <w:t>$2,632,440.69</w:t>
            </w:r>
          </w:p>
        </w:tc>
      </w:tr>
    </w:tbl>
    <w:p w14:paraId="4BD02954" w14:textId="77777777" w:rsidR="00395FD2" w:rsidRDefault="00395FD2" w:rsidP="008E375A">
      <w:pPr>
        <w:spacing w:line="360" w:lineRule="auto"/>
        <w:ind w:right="141"/>
        <w:jc w:val="both"/>
        <w:rPr>
          <w:rFonts w:ascii="Arial" w:hAnsi="Arial" w:cs="Arial"/>
          <w:b/>
        </w:rPr>
      </w:pPr>
    </w:p>
    <w:p w14:paraId="04294732" w14:textId="095BC26E" w:rsidR="00395FD2" w:rsidRDefault="00395FD2">
      <w:pPr>
        <w:rPr>
          <w:rFonts w:ascii="Arial" w:hAnsi="Arial" w:cs="Arial"/>
          <w:b/>
        </w:rPr>
      </w:pPr>
    </w:p>
    <w:p w14:paraId="3C12DFCB" w14:textId="0BCE4B3E" w:rsidR="008E375A" w:rsidRPr="00761FA3" w:rsidRDefault="008E375A" w:rsidP="008E375A">
      <w:pPr>
        <w:spacing w:line="360" w:lineRule="auto"/>
        <w:ind w:right="141"/>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14:paraId="3B205579" w14:textId="77777777" w:rsidR="008E375A" w:rsidRDefault="008E375A" w:rsidP="008E375A">
      <w:pPr>
        <w:spacing w:line="276" w:lineRule="auto"/>
        <w:ind w:right="190"/>
        <w:jc w:val="both"/>
        <w:rPr>
          <w:rFonts w:ascii="Arial" w:hAnsi="Arial" w:cs="Arial"/>
          <w:b/>
        </w:rPr>
      </w:pPr>
    </w:p>
    <w:p w14:paraId="627BDDEB" w14:textId="77777777" w:rsidR="008E375A" w:rsidRDefault="008E375A" w:rsidP="008E375A">
      <w:pPr>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44FD6DD7" w14:textId="77777777" w:rsidR="008E375A" w:rsidRDefault="008E375A" w:rsidP="008E375A">
      <w:pPr>
        <w:spacing w:line="360" w:lineRule="auto"/>
        <w:ind w:right="49"/>
        <w:jc w:val="both"/>
        <w:rPr>
          <w:rFonts w:ascii="Arial" w:hAnsi="Arial" w:cs="Arial"/>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701"/>
        <w:gridCol w:w="1559"/>
        <w:gridCol w:w="24"/>
        <w:gridCol w:w="1643"/>
      </w:tblGrid>
      <w:tr w:rsidR="008E375A" w:rsidRPr="00975557" w14:paraId="44B49EA0" w14:textId="77777777" w:rsidTr="00975557">
        <w:trPr>
          <w:trHeight w:val="327"/>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96BB968" w14:textId="77777777" w:rsidR="008E375A" w:rsidRPr="00975557" w:rsidRDefault="008E375A" w:rsidP="00975557">
            <w:pPr>
              <w:spacing w:line="360" w:lineRule="auto"/>
              <w:ind w:right="49"/>
              <w:jc w:val="center"/>
              <w:rPr>
                <w:rFonts w:ascii="Arial" w:hAnsi="Arial" w:cs="Arial"/>
                <w:b/>
                <w:sz w:val="18"/>
                <w:szCs w:val="18"/>
              </w:rPr>
            </w:pPr>
            <w:r w:rsidRPr="00975557">
              <w:rPr>
                <w:rFonts w:ascii="Arial" w:hAnsi="Arial" w:cs="Arial"/>
                <w:b/>
                <w:sz w:val="18"/>
                <w:szCs w:val="18"/>
              </w:rPr>
              <w:t>Resumen General de Observaciones y Solventaciones en Materia Financiera</w:t>
            </w:r>
          </w:p>
        </w:tc>
      </w:tr>
      <w:tr w:rsidR="008E375A" w:rsidRPr="00975557" w14:paraId="449A37B0" w14:textId="77777777" w:rsidTr="00CB510F">
        <w:trPr>
          <w:trHeight w:val="497"/>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03643C7" w14:textId="77777777" w:rsidR="008E375A" w:rsidRPr="00975557" w:rsidRDefault="008E375A" w:rsidP="00975557">
            <w:pPr>
              <w:spacing w:line="360" w:lineRule="auto"/>
              <w:ind w:right="49"/>
              <w:jc w:val="center"/>
              <w:rPr>
                <w:rFonts w:ascii="Arial" w:hAnsi="Arial" w:cs="Arial"/>
                <w:b/>
                <w:sz w:val="18"/>
                <w:szCs w:val="18"/>
              </w:rPr>
            </w:pPr>
            <w:r w:rsidRPr="00975557">
              <w:rPr>
                <w:rFonts w:ascii="Arial" w:hAnsi="Arial" w:cs="Arial"/>
                <w:b/>
                <w:sz w:val="18"/>
                <w:szCs w:val="18"/>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D31977" w14:textId="77777777" w:rsidR="008E375A" w:rsidRPr="00975557" w:rsidRDefault="008E375A" w:rsidP="00975557">
            <w:pPr>
              <w:spacing w:line="360" w:lineRule="auto"/>
              <w:ind w:right="49"/>
              <w:jc w:val="center"/>
              <w:rPr>
                <w:rFonts w:ascii="Arial" w:hAnsi="Arial" w:cs="Arial"/>
                <w:b/>
                <w:sz w:val="18"/>
                <w:szCs w:val="18"/>
              </w:rPr>
            </w:pPr>
            <w:r w:rsidRPr="00975557">
              <w:rPr>
                <w:rFonts w:ascii="Arial" w:hAnsi="Arial" w:cs="Arial"/>
                <w:b/>
                <w:sz w:val="18"/>
                <w:szCs w:val="18"/>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849A7B" w14:textId="77777777" w:rsidR="008E375A" w:rsidRPr="00975557" w:rsidRDefault="008E375A" w:rsidP="00975557">
            <w:pPr>
              <w:spacing w:line="360" w:lineRule="auto"/>
              <w:ind w:right="49"/>
              <w:jc w:val="center"/>
              <w:rPr>
                <w:rFonts w:ascii="Arial" w:hAnsi="Arial" w:cs="Arial"/>
                <w:b/>
                <w:sz w:val="18"/>
                <w:szCs w:val="18"/>
              </w:rPr>
            </w:pPr>
            <w:r w:rsidRPr="00975557">
              <w:rPr>
                <w:rFonts w:ascii="Arial" w:hAnsi="Arial" w:cs="Arial"/>
                <w:b/>
                <w:sz w:val="18"/>
                <w:szCs w:val="18"/>
              </w:rPr>
              <w:t>Modalidades de Solventación</w:t>
            </w: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F275FFD" w14:textId="77777777" w:rsidR="008E375A" w:rsidRPr="00975557" w:rsidRDefault="008E375A" w:rsidP="00975557">
            <w:pPr>
              <w:spacing w:line="360" w:lineRule="auto"/>
              <w:ind w:right="49"/>
              <w:jc w:val="center"/>
              <w:rPr>
                <w:rFonts w:ascii="Arial" w:hAnsi="Arial" w:cs="Arial"/>
                <w:b/>
                <w:sz w:val="18"/>
                <w:szCs w:val="18"/>
              </w:rPr>
            </w:pPr>
            <w:r w:rsidRPr="00975557">
              <w:rPr>
                <w:rFonts w:ascii="Arial" w:hAnsi="Arial" w:cs="Arial"/>
                <w:b/>
                <w:sz w:val="18"/>
                <w:szCs w:val="18"/>
              </w:rPr>
              <w:t>Pendiente de Solventar</w:t>
            </w:r>
          </w:p>
        </w:tc>
      </w:tr>
      <w:tr w:rsidR="008E375A" w:rsidRPr="00975557" w14:paraId="56DAD1B1" w14:textId="77777777" w:rsidTr="00CB510F">
        <w:trPr>
          <w:trHeight w:val="397"/>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B573F6A" w14:textId="77777777" w:rsidR="008E375A" w:rsidRPr="00975557" w:rsidRDefault="008E375A" w:rsidP="00975557">
            <w:pPr>
              <w:spacing w:line="360" w:lineRule="auto"/>
              <w:ind w:right="49"/>
              <w:jc w:val="center"/>
              <w:rPr>
                <w:rFonts w:ascii="Arial" w:hAnsi="Arial" w:cs="Arial"/>
                <w:b/>
                <w:sz w:val="18"/>
                <w:szCs w:val="18"/>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D28B59B" w14:textId="77777777" w:rsidR="008E375A" w:rsidRPr="00975557" w:rsidRDefault="008E375A" w:rsidP="00975557">
            <w:pPr>
              <w:spacing w:line="360" w:lineRule="auto"/>
              <w:ind w:right="49"/>
              <w:jc w:val="cente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CBA497" w14:textId="77777777" w:rsidR="008E375A" w:rsidRPr="00975557" w:rsidRDefault="008E375A" w:rsidP="00975557">
            <w:pPr>
              <w:spacing w:line="360" w:lineRule="auto"/>
              <w:ind w:right="49"/>
              <w:jc w:val="center"/>
              <w:rPr>
                <w:rFonts w:ascii="Arial" w:hAnsi="Arial" w:cs="Arial"/>
                <w:b/>
                <w:sz w:val="18"/>
                <w:szCs w:val="18"/>
              </w:rPr>
            </w:pPr>
            <w:r w:rsidRPr="00975557">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8763848" w14:textId="77777777" w:rsidR="008E375A" w:rsidRPr="00975557" w:rsidRDefault="008E375A" w:rsidP="00975557">
            <w:pPr>
              <w:spacing w:line="360" w:lineRule="auto"/>
              <w:ind w:right="49"/>
              <w:jc w:val="center"/>
              <w:rPr>
                <w:rFonts w:ascii="Arial" w:hAnsi="Arial" w:cs="Arial"/>
                <w:b/>
                <w:sz w:val="18"/>
                <w:szCs w:val="18"/>
              </w:rPr>
            </w:pPr>
            <w:r w:rsidRPr="00975557">
              <w:rPr>
                <w:rFonts w:ascii="Arial" w:hAnsi="Arial" w:cs="Arial"/>
                <w:b/>
                <w:sz w:val="18"/>
                <w:szCs w:val="18"/>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A59ECB6" w14:textId="77777777" w:rsidR="008E375A" w:rsidRPr="00975557" w:rsidRDefault="008E375A" w:rsidP="00975557">
            <w:pPr>
              <w:spacing w:line="360" w:lineRule="auto"/>
              <w:ind w:right="49"/>
              <w:jc w:val="center"/>
              <w:rPr>
                <w:rFonts w:ascii="Arial" w:hAnsi="Arial" w:cs="Arial"/>
                <w:b/>
                <w:sz w:val="18"/>
                <w:szCs w:val="18"/>
              </w:rPr>
            </w:pPr>
          </w:p>
        </w:tc>
      </w:tr>
      <w:tr w:rsidR="008E375A" w:rsidRPr="00975557" w14:paraId="0C5E280E" w14:textId="77777777" w:rsidTr="00CB510F">
        <w:trPr>
          <w:trHeight w:val="82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23AB4965" w14:textId="4FA4EB4E" w:rsidR="008E375A" w:rsidRPr="00975557" w:rsidRDefault="00975557" w:rsidP="00975557">
            <w:pPr>
              <w:spacing w:line="360" w:lineRule="auto"/>
              <w:jc w:val="both"/>
              <w:rPr>
                <w:rFonts w:ascii="Arial" w:hAnsi="Arial" w:cs="Arial"/>
                <w:sz w:val="18"/>
                <w:szCs w:val="18"/>
              </w:rPr>
            </w:pPr>
            <w:r w:rsidRPr="00975557">
              <w:rPr>
                <w:rFonts w:ascii="Arial" w:hAnsi="Arial" w:cs="Arial"/>
                <w:sz w:val="18"/>
                <w:szCs w:val="18"/>
              </w:rPr>
              <w:t>(3J) Impuestos, derechos, productos, aprovechamientos, accesorios, actualizaciones, no cobrados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7D2B7636" w14:textId="36AFF6C9" w:rsidR="008E375A" w:rsidRPr="00975557" w:rsidRDefault="008E375A" w:rsidP="00975557">
            <w:pPr>
              <w:spacing w:line="360" w:lineRule="auto"/>
              <w:jc w:val="right"/>
              <w:rPr>
                <w:rFonts w:ascii="Arial" w:hAnsi="Arial" w:cs="Arial"/>
                <w:sz w:val="18"/>
                <w:szCs w:val="18"/>
              </w:rPr>
            </w:pPr>
            <w:r w:rsidRPr="00975557">
              <w:rPr>
                <w:rFonts w:ascii="Arial" w:hAnsi="Arial" w:cs="Arial"/>
                <w:sz w:val="18"/>
                <w:szCs w:val="18"/>
              </w:rPr>
              <w:t>$</w:t>
            </w:r>
            <w:r w:rsidR="00975557">
              <w:rPr>
                <w:rFonts w:ascii="Arial" w:hAnsi="Arial" w:cs="Arial"/>
                <w:sz w:val="18"/>
                <w:szCs w:val="18"/>
              </w:rPr>
              <w:t>309,976.66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763039C" w14:textId="444EE3CB" w:rsidR="008E375A" w:rsidRPr="00975557" w:rsidRDefault="00975557" w:rsidP="000736B8">
            <w:pPr>
              <w:spacing w:line="360" w:lineRule="auto"/>
              <w:jc w:val="right"/>
              <w:rPr>
                <w:rFonts w:ascii="Arial" w:hAnsi="Arial" w:cs="Arial"/>
                <w:sz w:val="18"/>
                <w:szCs w:val="18"/>
              </w:rPr>
            </w:pPr>
            <w:r>
              <w:rPr>
                <w:rFonts w:ascii="Arial" w:hAnsi="Arial" w:cs="Arial"/>
                <w:sz w:val="18"/>
                <w:szCs w:val="18"/>
              </w:rPr>
              <w:t>$</w:t>
            </w:r>
            <w:r w:rsidR="000736B8">
              <w:rPr>
                <w:rFonts w:ascii="Arial" w:hAnsi="Arial" w:cs="Arial"/>
                <w:sz w:val="18"/>
                <w:szCs w:val="18"/>
              </w:rPr>
              <w:t>309,976.66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8E333D" w14:textId="19E61D1F" w:rsidR="008E375A" w:rsidRPr="00975557" w:rsidRDefault="00975557" w:rsidP="00975557">
            <w:pPr>
              <w:spacing w:line="360" w:lineRule="auto"/>
              <w:jc w:val="right"/>
              <w:rPr>
                <w:rFonts w:ascii="Arial" w:hAnsi="Arial" w:cs="Arial"/>
                <w:sz w:val="18"/>
                <w:szCs w:val="18"/>
              </w:rPr>
            </w:pPr>
            <w:r>
              <w:rPr>
                <w:rFonts w:ascii="Arial" w:hAnsi="Arial" w:cs="Arial"/>
                <w:sz w:val="18"/>
                <w:szCs w:val="18"/>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509482" w14:textId="0B2AAD19" w:rsidR="008E375A" w:rsidRPr="00975557" w:rsidRDefault="00975557" w:rsidP="00975557">
            <w:pPr>
              <w:spacing w:line="360" w:lineRule="auto"/>
              <w:jc w:val="right"/>
              <w:rPr>
                <w:rFonts w:ascii="Arial" w:hAnsi="Arial" w:cs="Arial"/>
                <w:sz w:val="18"/>
                <w:szCs w:val="18"/>
              </w:rPr>
            </w:pPr>
            <w:r>
              <w:rPr>
                <w:rFonts w:ascii="Arial" w:hAnsi="Arial" w:cs="Arial"/>
                <w:sz w:val="18"/>
                <w:szCs w:val="18"/>
              </w:rPr>
              <w:t>$0.00</w:t>
            </w:r>
          </w:p>
        </w:tc>
      </w:tr>
      <w:tr w:rsidR="008E375A" w:rsidRPr="00975557" w14:paraId="57D2ACB4" w14:textId="77777777" w:rsidTr="00975557">
        <w:trPr>
          <w:trHeight w:val="484"/>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1333590F" w14:textId="43E6E8B1" w:rsidR="008E375A" w:rsidRPr="00975557" w:rsidRDefault="00975557" w:rsidP="00975557">
            <w:pPr>
              <w:spacing w:line="360" w:lineRule="auto"/>
              <w:rPr>
                <w:rFonts w:ascii="Arial" w:hAnsi="Arial" w:cs="Arial"/>
                <w:sz w:val="18"/>
                <w:szCs w:val="18"/>
              </w:rPr>
            </w:pPr>
            <w:r w:rsidRPr="00BE3D4F">
              <w:rPr>
                <w:rFonts w:ascii="Arial" w:hAnsi="Arial" w:cs="Arial"/>
                <w:bCs/>
                <w:sz w:val="18"/>
                <w:szCs w:val="18"/>
              </w:rPr>
              <w:t xml:space="preserve">(3I) </w:t>
            </w:r>
            <w:r w:rsidRPr="00BE3D4F">
              <w:rPr>
                <w:rFonts w:ascii="Arial" w:hAnsi="Arial" w:cs="Arial"/>
                <w:sz w:val="18"/>
                <w:szCs w:val="18"/>
              </w:rPr>
              <w:t>Deficiencia en el proceso de recaudación</w:t>
            </w:r>
          </w:p>
        </w:tc>
        <w:tc>
          <w:tcPr>
            <w:tcW w:w="1701" w:type="dxa"/>
            <w:tcBorders>
              <w:top w:val="single" w:sz="4" w:space="0" w:color="D9D9D9" w:themeColor="background1" w:themeShade="D9"/>
              <w:left w:val="nil"/>
              <w:bottom w:val="single" w:sz="4" w:space="0" w:color="BFBFBF" w:themeColor="background1" w:themeShade="BF"/>
              <w:right w:val="single" w:sz="4" w:space="0" w:color="D9D9D9" w:themeColor="background1" w:themeShade="D9"/>
            </w:tcBorders>
            <w:shd w:val="clear" w:color="auto" w:fill="auto"/>
          </w:tcPr>
          <w:p w14:paraId="33EC623A" w14:textId="22A0C992" w:rsidR="008E375A" w:rsidRPr="00975557" w:rsidRDefault="00975557" w:rsidP="00975557">
            <w:pPr>
              <w:spacing w:line="360" w:lineRule="auto"/>
              <w:jc w:val="right"/>
              <w:rPr>
                <w:rFonts w:ascii="Arial" w:hAnsi="Arial" w:cs="Arial"/>
                <w:sz w:val="18"/>
                <w:szCs w:val="18"/>
              </w:rPr>
            </w:pPr>
            <w:r>
              <w:rPr>
                <w:rFonts w:ascii="Arial" w:hAnsi="Arial" w:cs="Arial"/>
                <w:sz w:val="18"/>
                <w:szCs w:val="18"/>
              </w:rPr>
              <w:t>31,335.50</w:t>
            </w:r>
          </w:p>
        </w:tc>
        <w:tc>
          <w:tcPr>
            <w:tcW w:w="1701"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0E811361" w14:textId="1B9BA9F7" w:rsidR="008E375A" w:rsidRPr="00975557" w:rsidRDefault="000736B8" w:rsidP="00975557">
            <w:pPr>
              <w:spacing w:line="360" w:lineRule="auto"/>
              <w:jc w:val="right"/>
              <w:rPr>
                <w:rFonts w:ascii="Arial" w:hAnsi="Arial" w:cs="Arial"/>
                <w:sz w:val="18"/>
                <w:szCs w:val="18"/>
              </w:rPr>
            </w:pPr>
            <w:r>
              <w:rPr>
                <w:rFonts w:ascii="Arial" w:hAnsi="Arial" w:cs="Arial"/>
                <w:sz w:val="18"/>
                <w:szCs w:val="18"/>
              </w:rPr>
              <w:t>31,335.50</w:t>
            </w:r>
          </w:p>
        </w:tc>
        <w:tc>
          <w:tcPr>
            <w:tcW w:w="155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08D12E95" w14:textId="2DA267F5" w:rsidR="008E375A" w:rsidRPr="00975557" w:rsidRDefault="00823EF0" w:rsidP="00975557">
            <w:pPr>
              <w:spacing w:line="360" w:lineRule="auto"/>
              <w:jc w:val="right"/>
              <w:rPr>
                <w:rFonts w:ascii="Arial" w:hAnsi="Arial" w:cs="Arial"/>
                <w:sz w:val="18"/>
                <w:szCs w:val="18"/>
              </w:rPr>
            </w:pPr>
            <w:r>
              <w:rPr>
                <w:rFonts w:ascii="Arial" w:hAnsi="Arial" w:cs="Arial"/>
                <w:sz w:val="18"/>
                <w:szCs w:val="18"/>
              </w:rPr>
              <w:t>0.00</w:t>
            </w:r>
          </w:p>
        </w:tc>
        <w:tc>
          <w:tcPr>
            <w:tcW w:w="1667" w:type="dxa"/>
            <w:gridSpan w:val="2"/>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5BF4C266" w14:textId="3ADCE56B" w:rsidR="008E375A" w:rsidRPr="00975557" w:rsidRDefault="00823EF0" w:rsidP="00975557">
            <w:pPr>
              <w:spacing w:line="360" w:lineRule="auto"/>
              <w:jc w:val="right"/>
              <w:rPr>
                <w:rFonts w:ascii="Arial" w:hAnsi="Arial" w:cs="Arial"/>
                <w:sz w:val="18"/>
                <w:szCs w:val="18"/>
              </w:rPr>
            </w:pPr>
            <w:r>
              <w:rPr>
                <w:rFonts w:ascii="Arial" w:hAnsi="Arial" w:cs="Arial"/>
                <w:sz w:val="18"/>
                <w:szCs w:val="18"/>
              </w:rPr>
              <w:t>0.00</w:t>
            </w:r>
          </w:p>
        </w:tc>
      </w:tr>
      <w:tr w:rsidR="008E375A" w:rsidRPr="00975557" w14:paraId="1C7A16A2" w14:textId="77777777" w:rsidTr="00315C6C">
        <w:trPr>
          <w:trHeight w:val="81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0B794789" w14:textId="62C1F888" w:rsidR="008E375A" w:rsidRPr="00975557" w:rsidRDefault="00975557" w:rsidP="00975557">
            <w:pPr>
              <w:spacing w:line="360" w:lineRule="auto"/>
              <w:jc w:val="both"/>
              <w:rPr>
                <w:rFonts w:ascii="Arial" w:hAnsi="Arial" w:cs="Arial"/>
                <w:sz w:val="18"/>
                <w:szCs w:val="18"/>
              </w:rPr>
            </w:pPr>
            <w:r w:rsidRPr="00BE3D4F">
              <w:rPr>
                <w:rFonts w:ascii="Arial" w:hAnsi="Arial" w:cs="Arial"/>
                <w:sz w:val="18"/>
                <w:szCs w:val="18"/>
              </w:rPr>
              <w:t>(3Ñ) Diferencias entre registros administrativos, contables y presupuestales</w:t>
            </w:r>
          </w:p>
        </w:tc>
        <w:tc>
          <w:tcPr>
            <w:tcW w:w="1701" w:type="dxa"/>
            <w:tcBorders>
              <w:top w:val="single" w:sz="4" w:space="0" w:color="BFBFBF" w:themeColor="background1" w:themeShade="BF"/>
              <w:left w:val="nil"/>
              <w:bottom w:val="single" w:sz="4" w:space="0" w:color="auto"/>
              <w:right w:val="single" w:sz="4" w:space="0" w:color="D9D9D9" w:themeColor="background1" w:themeShade="D9"/>
            </w:tcBorders>
            <w:shd w:val="clear" w:color="auto" w:fill="auto"/>
          </w:tcPr>
          <w:p w14:paraId="46BA0964" w14:textId="3864BB15" w:rsidR="008E375A" w:rsidRPr="00975557" w:rsidRDefault="00975557" w:rsidP="00975557">
            <w:pPr>
              <w:spacing w:line="360" w:lineRule="auto"/>
              <w:jc w:val="right"/>
              <w:rPr>
                <w:rFonts w:ascii="Arial" w:hAnsi="Arial" w:cs="Arial"/>
                <w:sz w:val="18"/>
                <w:szCs w:val="18"/>
              </w:rPr>
            </w:pPr>
            <w:r>
              <w:rPr>
                <w:rFonts w:ascii="Arial" w:hAnsi="Arial" w:cs="Arial"/>
                <w:sz w:val="18"/>
                <w:szCs w:val="18"/>
              </w:rPr>
              <w:t>2,291,128.53</w:t>
            </w:r>
          </w:p>
        </w:tc>
        <w:tc>
          <w:tcPr>
            <w:tcW w:w="1701" w:type="dxa"/>
            <w:tcBorders>
              <w:top w:val="single" w:sz="4" w:space="0" w:color="BFBFBF" w:themeColor="background1" w:themeShade="BF"/>
              <w:left w:val="single" w:sz="4" w:space="0" w:color="D9D9D9" w:themeColor="background1" w:themeShade="D9"/>
              <w:bottom w:val="single" w:sz="4" w:space="0" w:color="auto"/>
              <w:right w:val="single" w:sz="4" w:space="0" w:color="D9D9D9" w:themeColor="background1" w:themeShade="D9"/>
            </w:tcBorders>
            <w:shd w:val="clear" w:color="auto" w:fill="auto"/>
          </w:tcPr>
          <w:p w14:paraId="6A072B20" w14:textId="40B6A9C5" w:rsidR="008E375A" w:rsidRPr="00975557" w:rsidRDefault="000736B8" w:rsidP="00975557">
            <w:pPr>
              <w:spacing w:line="360" w:lineRule="auto"/>
              <w:jc w:val="right"/>
              <w:rPr>
                <w:rFonts w:ascii="Arial" w:hAnsi="Arial" w:cs="Arial"/>
                <w:sz w:val="18"/>
                <w:szCs w:val="18"/>
              </w:rPr>
            </w:pPr>
            <w:r>
              <w:rPr>
                <w:rFonts w:ascii="Arial" w:hAnsi="Arial" w:cs="Arial"/>
                <w:sz w:val="18"/>
                <w:szCs w:val="18"/>
              </w:rPr>
              <w:t>2,291,128.53</w:t>
            </w:r>
          </w:p>
        </w:tc>
        <w:tc>
          <w:tcPr>
            <w:tcW w:w="1559" w:type="dxa"/>
            <w:tcBorders>
              <w:top w:val="single" w:sz="4" w:space="0" w:color="BFBFBF" w:themeColor="background1" w:themeShade="BF"/>
              <w:left w:val="single" w:sz="4" w:space="0" w:color="D9D9D9" w:themeColor="background1" w:themeShade="D9"/>
              <w:bottom w:val="single" w:sz="4" w:space="0" w:color="auto"/>
              <w:right w:val="single" w:sz="4" w:space="0" w:color="D9D9D9" w:themeColor="background1" w:themeShade="D9"/>
            </w:tcBorders>
            <w:shd w:val="clear" w:color="auto" w:fill="auto"/>
          </w:tcPr>
          <w:p w14:paraId="300E56BF" w14:textId="2DFED6F1" w:rsidR="008E375A" w:rsidRPr="00975557" w:rsidRDefault="00823EF0" w:rsidP="00975557">
            <w:pPr>
              <w:spacing w:line="360" w:lineRule="auto"/>
              <w:jc w:val="right"/>
              <w:rPr>
                <w:rFonts w:ascii="Arial" w:hAnsi="Arial" w:cs="Arial"/>
                <w:sz w:val="18"/>
                <w:szCs w:val="18"/>
              </w:rPr>
            </w:pPr>
            <w:r>
              <w:rPr>
                <w:rFonts w:ascii="Arial" w:hAnsi="Arial" w:cs="Arial"/>
                <w:sz w:val="18"/>
                <w:szCs w:val="18"/>
              </w:rPr>
              <w:t>0.00</w:t>
            </w:r>
          </w:p>
        </w:tc>
        <w:tc>
          <w:tcPr>
            <w:tcW w:w="1667" w:type="dxa"/>
            <w:gridSpan w:val="2"/>
            <w:tcBorders>
              <w:top w:val="single" w:sz="4" w:space="0" w:color="BFBFBF" w:themeColor="background1" w:themeShade="BF"/>
              <w:left w:val="single" w:sz="4" w:space="0" w:color="D9D9D9" w:themeColor="background1" w:themeShade="D9"/>
              <w:bottom w:val="single" w:sz="4" w:space="0" w:color="auto"/>
              <w:right w:val="single" w:sz="4" w:space="0" w:color="D9D9D9" w:themeColor="background1" w:themeShade="D9"/>
            </w:tcBorders>
            <w:shd w:val="clear" w:color="auto" w:fill="auto"/>
          </w:tcPr>
          <w:p w14:paraId="3122BB59" w14:textId="5638EFDC" w:rsidR="008E375A" w:rsidRPr="00975557" w:rsidRDefault="00823EF0" w:rsidP="00975557">
            <w:pPr>
              <w:spacing w:line="360" w:lineRule="auto"/>
              <w:jc w:val="right"/>
              <w:rPr>
                <w:rFonts w:ascii="Arial" w:hAnsi="Arial" w:cs="Arial"/>
                <w:sz w:val="18"/>
                <w:szCs w:val="18"/>
              </w:rPr>
            </w:pPr>
            <w:r>
              <w:rPr>
                <w:rFonts w:ascii="Arial" w:hAnsi="Arial" w:cs="Arial"/>
                <w:sz w:val="18"/>
                <w:szCs w:val="18"/>
              </w:rPr>
              <w:t>0.00</w:t>
            </w:r>
          </w:p>
        </w:tc>
      </w:tr>
      <w:tr w:rsidR="008E375A" w:rsidRPr="00D50730" w14:paraId="1FB241F0" w14:textId="77777777" w:rsidTr="00315C6C">
        <w:trPr>
          <w:trHeight w:val="3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2C2FB67" w14:textId="77777777" w:rsidR="008E375A" w:rsidRPr="00975557" w:rsidRDefault="008E375A" w:rsidP="00975557">
            <w:pPr>
              <w:spacing w:line="360" w:lineRule="auto"/>
              <w:ind w:right="49"/>
              <w:jc w:val="right"/>
              <w:rPr>
                <w:rFonts w:ascii="Arial" w:hAnsi="Arial" w:cs="Arial"/>
                <w:b/>
                <w:sz w:val="18"/>
                <w:szCs w:val="18"/>
              </w:rPr>
            </w:pPr>
            <w:r w:rsidRPr="00975557">
              <w:rPr>
                <w:rFonts w:ascii="Arial" w:hAnsi="Arial" w:cs="Arial"/>
                <w:b/>
                <w:sz w:val="18"/>
                <w:szCs w:val="18"/>
              </w:rPr>
              <w:t>Totales</w:t>
            </w:r>
          </w:p>
        </w:tc>
        <w:tc>
          <w:tcPr>
            <w:tcW w:w="1701"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5D335AE2" w14:textId="4CDF4E8C" w:rsidR="008E375A" w:rsidRPr="00975557" w:rsidRDefault="008E375A" w:rsidP="00975557">
            <w:pPr>
              <w:spacing w:line="360" w:lineRule="auto"/>
              <w:ind w:right="49"/>
              <w:jc w:val="right"/>
              <w:rPr>
                <w:rFonts w:ascii="Arial" w:hAnsi="Arial" w:cs="Arial"/>
                <w:b/>
                <w:sz w:val="18"/>
                <w:szCs w:val="18"/>
              </w:rPr>
            </w:pPr>
            <w:r w:rsidRPr="00975557">
              <w:rPr>
                <w:rFonts w:ascii="Arial" w:hAnsi="Arial" w:cs="Arial"/>
                <w:b/>
                <w:bCs/>
                <w:color w:val="000000"/>
                <w:sz w:val="18"/>
                <w:szCs w:val="18"/>
                <w:lang w:eastAsia="es-MX"/>
              </w:rPr>
              <w:t>$</w:t>
            </w:r>
            <w:r w:rsidR="00975557">
              <w:rPr>
                <w:rFonts w:ascii="Arial" w:hAnsi="Arial" w:cs="Arial"/>
                <w:b/>
                <w:bCs/>
                <w:color w:val="000000"/>
                <w:sz w:val="18"/>
                <w:szCs w:val="18"/>
                <w:lang w:eastAsia="es-MX"/>
              </w:rPr>
              <w:t>2,632,440.69</w:t>
            </w:r>
          </w:p>
        </w:tc>
        <w:tc>
          <w:tcPr>
            <w:tcW w:w="1701"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16328059" w14:textId="4A7B998C" w:rsidR="008E375A" w:rsidRPr="00975557" w:rsidRDefault="008E375A" w:rsidP="00975557">
            <w:pPr>
              <w:spacing w:line="360" w:lineRule="auto"/>
              <w:ind w:right="49"/>
              <w:jc w:val="right"/>
              <w:rPr>
                <w:rFonts w:ascii="Arial" w:hAnsi="Arial" w:cs="Arial"/>
                <w:b/>
                <w:sz w:val="18"/>
                <w:szCs w:val="18"/>
              </w:rPr>
            </w:pPr>
            <w:r w:rsidRPr="00975557">
              <w:rPr>
                <w:rFonts w:ascii="Arial" w:hAnsi="Arial" w:cs="Arial"/>
                <w:b/>
                <w:sz w:val="18"/>
                <w:szCs w:val="18"/>
              </w:rPr>
              <w:t>$</w:t>
            </w:r>
            <w:r w:rsidR="000736B8">
              <w:rPr>
                <w:rFonts w:ascii="Arial" w:hAnsi="Arial" w:cs="Arial"/>
                <w:b/>
                <w:sz w:val="18"/>
                <w:szCs w:val="18"/>
              </w:rPr>
              <w:t>2,632,440.69</w:t>
            </w:r>
          </w:p>
        </w:tc>
        <w:tc>
          <w:tcPr>
            <w:tcW w:w="1559"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2A728D8E" w14:textId="77777777" w:rsidR="008E375A" w:rsidRPr="00975557" w:rsidRDefault="008E375A" w:rsidP="00975557">
            <w:pPr>
              <w:spacing w:line="360" w:lineRule="auto"/>
              <w:ind w:right="49"/>
              <w:jc w:val="right"/>
              <w:rPr>
                <w:rFonts w:ascii="Arial" w:hAnsi="Arial" w:cs="Arial"/>
                <w:b/>
                <w:bCs/>
                <w:color w:val="000000"/>
                <w:sz w:val="18"/>
                <w:szCs w:val="18"/>
                <w:lang w:eastAsia="es-MX"/>
              </w:rPr>
            </w:pPr>
            <w:r w:rsidRPr="00975557">
              <w:rPr>
                <w:rFonts w:ascii="Arial" w:hAnsi="Arial" w:cs="Arial"/>
                <w:b/>
                <w:bCs/>
                <w:color w:val="000000"/>
                <w:sz w:val="18"/>
                <w:szCs w:val="18"/>
                <w:lang w:eastAsia="es-MX"/>
              </w:rPr>
              <w:t>$0.00</w:t>
            </w:r>
          </w:p>
        </w:tc>
        <w:tc>
          <w:tcPr>
            <w:tcW w:w="1667"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07AD5569" w14:textId="39AAF259" w:rsidR="008E375A" w:rsidRPr="00D50730" w:rsidRDefault="008E375A" w:rsidP="00975557">
            <w:pPr>
              <w:spacing w:line="360" w:lineRule="auto"/>
              <w:ind w:right="49"/>
              <w:jc w:val="right"/>
              <w:rPr>
                <w:rFonts w:ascii="Arial" w:hAnsi="Arial" w:cs="Arial"/>
                <w:b/>
                <w:bCs/>
                <w:color w:val="000000"/>
                <w:sz w:val="18"/>
                <w:szCs w:val="18"/>
                <w:lang w:eastAsia="es-MX"/>
              </w:rPr>
            </w:pPr>
            <w:r w:rsidRPr="00975557">
              <w:rPr>
                <w:rFonts w:ascii="Arial" w:hAnsi="Arial" w:cs="Arial"/>
                <w:b/>
                <w:bCs/>
                <w:color w:val="000000"/>
                <w:sz w:val="18"/>
                <w:szCs w:val="18"/>
                <w:lang w:eastAsia="es-MX"/>
              </w:rPr>
              <w:t>$</w:t>
            </w:r>
            <w:r w:rsidR="00975557">
              <w:rPr>
                <w:rFonts w:ascii="Arial" w:hAnsi="Arial" w:cs="Arial"/>
                <w:b/>
                <w:bCs/>
                <w:color w:val="000000"/>
                <w:sz w:val="18"/>
                <w:szCs w:val="18"/>
                <w:lang w:eastAsia="es-MX"/>
              </w:rPr>
              <w:t>0.00</w:t>
            </w:r>
          </w:p>
        </w:tc>
      </w:tr>
    </w:tbl>
    <w:p w14:paraId="4EC5F415" w14:textId="54C4D9C8" w:rsidR="008E375A" w:rsidRDefault="008E375A" w:rsidP="00406F79">
      <w:pPr>
        <w:spacing w:line="360" w:lineRule="auto"/>
        <w:jc w:val="both"/>
        <w:rPr>
          <w:rFonts w:ascii="Arial" w:hAnsi="Arial" w:cs="Arial"/>
          <w:b/>
          <w:bCs/>
        </w:rPr>
      </w:pPr>
    </w:p>
    <w:p w14:paraId="1C708634" w14:textId="77777777" w:rsidR="008E375A" w:rsidRDefault="008E375A" w:rsidP="00406F79">
      <w:pPr>
        <w:spacing w:line="360" w:lineRule="auto"/>
        <w:jc w:val="both"/>
        <w:rPr>
          <w:rFonts w:ascii="Arial" w:hAnsi="Arial" w:cs="Arial"/>
          <w:b/>
          <w:bCs/>
        </w:rPr>
      </w:pPr>
    </w:p>
    <w:p w14:paraId="567F37E9" w14:textId="436D90B1" w:rsidR="00A623C4" w:rsidRPr="009879F6" w:rsidRDefault="00A623C4" w:rsidP="00A623C4">
      <w:pPr>
        <w:spacing w:line="360" w:lineRule="auto"/>
        <w:ind w:right="190"/>
        <w:jc w:val="both"/>
        <w:rPr>
          <w:rFonts w:ascii="Arial" w:hAnsi="Arial" w:cs="Arial"/>
          <w:b/>
          <w:bCs/>
        </w:rPr>
      </w:pPr>
      <w:bookmarkStart w:id="16" w:name="_Hlk11419841"/>
      <w:r>
        <w:rPr>
          <w:rFonts w:ascii="Arial" w:hAnsi="Arial" w:cs="Arial"/>
          <w:b/>
          <w:bCs/>
        </w:rPr>
        <w:lastRenderedPageBreak/>
        <w:t>I</w:t>
      </w:r>
      <w:r w:rsidRPr="009879F6">
        <w:rPr>
          <w:rFonts w:ascii="Arial" w:hAnsi="Arial" w:cs="Arial"/>
          <w:b/>
          <w:bCs/>
        </w:rPr>
        <w:t xml:space="preserve">I. INFORME INDIVIDUAL DE AUDITORÍA RELATIVO A </w:t>
      </w:r>
      <w:r>
        <w:rPr>
          <w:rFonts w:ascii="Arial" w:hAnsi="Arial" w:cs="Arial"/>
          <w:b/>
          <w:bCs/>
        </w:rPr>
        <w:t>EGRESOS</w:t>
      </w:r>
    </w:p>
    <w:p w14:paraId="6990B897" w14:textId="77777777" w:rsidR="00A623C4" w:rsidRPr="009879F6" w:rsidRDefault="00A623C4" w:rsidP="00A623C4">
      <w:pPr>
        <w:spacing w:line="360" w:lineRule="auto"/>
        <w:ind w:right="190"/>
        <w:jc w:val="both"/>
        <w:rPr>
          <w:rFonts w:ascii="Arial" w:hAnsi="Arial" w:cs="Arial"/>
          <w:b/>
          <w:bCs/>
        </w:rPr>
      </w:pPr>
    </w:p>
    <w:p w14:paraId="7006559D" w14:textId="57E4EFAB" w:rsidR="00A623C4" w:rsidRPr="009879F6" w:rsidRDefault="00A623C4" w:rsidP="00A623C4">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3E0F634B" w14:textId="77777777" w:rsidR="00A623C4" w:rsidRPr="009879F6" w:rsidRDefault="00A623C4" w:rsidP="00A623C4">
      <w:pPr>
        <w:spacing w:line="360" w:lineRule="auto"/>
        <w:jc w:val="both"/>
        <w:rPr>
          <w:rFonts w:ascii="Arial" w:hAnsi="Arial" w:cs="Arial"/>
          <w:b/>
          <w:bCs/>
        </w:rPr>
      </w:pPr>
    </w:p>
    <w:p w14:paraId="6F610671" w14:textId="77777777" w:rsidR="00A623C4" w:rsidRDefault="00A623C4" w:rsidP="00A623C4">
      <w:pPr>
        <w:spacing w:line="360" w:lineRule="auto"/>
        <w:jc w:val="both"/>
        <w:rPr>
          <w:rFonts w:ascii="Arial" w:hAnsi="Arial" w:cs="Arial"/>
          <w:b/>
          <w:bCs/>
        </w:rPr>
      </w:pPr>
      <w:r w:rsidRPr="009879F6">
        <w:rPr>
          <w:rFonts w:ascii="Arial" w:hAnsi="Arial" w:cs="Arial"/>
          <w:b/>
          <w:bCs/>
        </w:rPr>
        <w:t>A. Título de la Auditoría</w:t>
      </w:r>
    </w:p>
    <w:p w14:paraId="784100DA" w14:textId="77777777" w:rsidR="00A623C4" w:rsidRPr="009879F6" w:rsidRDefault="00A623C4" w:rsidP="00A623C4">
      <w:pPr>
        <w:spacing w:line="360" w:lineRule="auto"/>
        <w:jc w:val="both"/>
        <w:rPr>
          <w:rFonts w:ascii="Arial" w:hAnsi="Arial" w:cs="Arial"/>
          <w:b/>
          <w:bCs/>
        </w:rPr>
      </w:pPr>
    </w:p>
    <w:p w14:paraId="70CAA94C" w14:textId="59E38237" w:rsidR="00A623C4" w:rsidRPr="009879F6" w:rsidRDefault="00A623C4" w:rsidP="00A623C4">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BE3D4F">
        <w:rPr>
          <w:rFonts w:ascii="Arial" w:hAnsi="Arial" w:cs="Arial"/>
          <w:b/>
        </w:rPr>
        <w:t>Instituto de Movilidad del Estado de Quintana Roo</w:t>
      </w:r>
      <w:r>
        <w:rPr>
          <w:rFonts w:ascii="Arial" w:hAnsi="Arial" w:cs="Arial"/>
        </w:rPr>
        <w:t xml:space="preserve">, </w:t>
      </w:r>
      <w:r w:rsidRPr="009879F6">
        <w:rPr>
          <w:rFonts w:ascii="Arial" w:hAnsi="Arial" w:cs="Arial"/>
        </w:rPr>
        <w:t>de manera especial y enunciativa mas no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3561"/>
        <w:gridCol w:w="6127"/>
      </w:tblGrid>
      <w:tr w:rsidR="00A623C4" w:rsidRPr="009879F6" w14:paraId="22ED60B4" w14:textId="77777777" w:rsidTr="00C142A1">
        <w:trPr>
          <w:trHeight w:val="678"/>
          <w:tblHeader/>
          <w:jc w:val="center"/>
        </w:trPr>
        <w:tc>
          <w:tcPr>
            <w:tcW w:w="1838" w:type="pct"/>
            <w:shd w:val="clear" w:color="auto" w:fill="auto"/>
          </w:tcPr>
          <w:p w14:paraId="54E8B8F7" w14:textId="1BF9AF8C" w:rsidR="00A623C4" w:rsidRPr="009879F6" w:rsidRDefault="00733F26" w:rsidP="00BE3D4F">
            <w:pPr>
              <w:spacing w:line="360" w:lineRule="auto"/>
              <w:ind w:right="190"/>
              <w:jc w:val="both"/>
              <w:rPr>
                <w:rFonts w:ascii="Arial" w:hAnsi="Arial" w:cs="Arial"/>
                <w:b/>
                <w:bCs/>
              </w:rPr>
            </w:pPr>
            <w:r>
              <w:rPr>
                <w:rFonts w:ascii="Arial" w:hAnsi="Arial" w:cs="Arial"/>
                <w:b/>
                <w:bCs/>
              </w:rPr>
              <w:t>20-AEMF-E-GOB-</w:t>
            </w:r>
            <w:r w:rsidR="008E375A">
              <w:rPr>
                <w:rFonts w:ascii="Arial" w:hAnsi="Arial" w:cs="Arial"/>
                <w:b/>
                <w:bCs/>
              </w:rPr>
              <w:t>035</w:t>
            </w:r>
            <w:r w:rsidR="00BE3D4F">
              <w:rPr>
                <w:rFonts w:ascii="Arial" w:hAnsi="Arial" w:cs="Arial"/>
                <w:b/>
                <w:bCs/>
              </w:rPr>
              <w:t>-070</w:t>
            </w:r>
          </w:p>
        </w:tc>
        <w:tc>
          <w:tcPr>
            <w:tcW w:w="3162" w:type="pct"/>
            <w:shd w:val="clear" w:color="auto" w:fill="auto"/>
          </w:tcPr>
          <w:p w14:paraId="287B72BC" w14:textId="3386D301" w:rsidR="00A623C4" w:rsidRPr="009879F6" w:rsidRDefault="00A623C4" w:rsidP="00975557">
            <w:pPr>
              <w:spacing w:line="360" w:lineRule="auto"/>
              <w:ind w:right="190"/>
              <w:jc w:val="both"/>
              <w:rPr>
                <w:rFonts w:ascii="Arial" w:hAnsi="Arial" w:cs="Arial"/>
                <w:bCs/>
              </w:rPr>
            </w:pPr>
            <w:r w:rsidRPr="009879F6">
              <w:rPr>
                <w:rFonts w:ascii="Arial" w:hAnsi="Arial" w:cs="Arial"/>
                <w:bCs/>
              </w:rPr>
              <w:t>“</w:t>
            </w:r>
            <w:r w:rsidRPr="00EC4C04">
              <w:rPr>
                <w:rFonts w:ascii="Arial" w:hAnsi="Arial" w:cs="Arial"/>
                <w:bCs/>
              </w:rPr>
              <w:t xml:space="preserve">Auditoría de Cumplimiento Financiero de </w:t>
            </w:r>
            <w:r w:rsidR="00DD5FFA">
              <w:rPr>
                <w:rFonts w:ascii="Arial" w:hAnsi="Arial" w:cs="Arial"/>
                <w:bCs/>
              </w:rPr>
              <w:t>Gastos y Otras Pérdidas</w:t>
            </w:r>
            <w:r w:rsidRPr="00EC4C04">
              <w:rPr>
                <w:rFonts w:ascii="Arial" w:hAnsi="Arial" w:cs="Arial"/>
                <w:bCs/>
              </w:rPr>
              <w:t>”</w:t>
            </w:r>
          </w:p>
        </w:tc>
      </w:tr>
    </w:tbl>
    <w:p w14:paraId="77E3EBA8" w14:textId="77777777" w:rsidR="00975557" w:rsidRPr="00995A30" w:rsidRDefault="00975557" w:rsidP="00A623C4">
      <w:pPr>
        <w:spacing w:line="360" w:lineRule="auto"/>
        <w:jc w:val="both"/>
        <w:rPr>
          <w:rFonts w:ascii="Arial" w:hAnsi="Arial" w:cs="Arial"/>
          <w:b/>
          <w:bCs/>
          <w:sz w:val="18"/>
          <w:szCs w:val="18"/>
        </w:rPr>
      </w:pPr>
    </w:p>
    <w:p w14:paraId="07A39B08" w14:textId="1C5EB21E" w:rsidR="00A623C4" w:rsidRDefault="00A623C4" w:rsidP="00A623C4">
      <w:pPr>
        <w:spacing w:line="360" w:lineRule="auto"/>
        <w:jc w:val="both"/>
        <w:rPr>
          <w:rFonts w:ascii="Arial" w:hAnsi="Arial" w:cs="Arial"/>
          <w:b/>
          <w:bCs/>
        </w:rPr>
      </w:pPr>
      <w:r w:rsidRPr="009879F6">
        <w:rPr>
          <w:rFonts w:ascii="Arial" w:hAnsi="Arial" w:cs="Arial"/>
          <w:b/>
          <w:bCs/>
        </w:rPr>
        <w:t>B. Objetivo</w:t>
      </w:r>
    </w:p>
    <w:p w14:paraId="2A7F39E1" w14:textId="77777777" w:rsidR="00A623C4" w:rsidRPr="00975557" w:rsidRDefault="00A623C4" w:rsidP="00A623C4">
      <w:pPr>
        <w:spacing w:line="360" w:lineRule="auto"/>
        <w:jc w:val="both"/>
        <w:rPr>
          <w:rFonts w:ascii="Arial" w:hAnsi="Arial" w:cs="Arial"/>
          <w:b/>
          <w:bCs/>
          <w:sz w:val="20"/>
          <w:szCs w:val="20"/>
        </w:rPr>
      </w:pPr>
    </w:p>
    <w:p w14:paraId="34BDA243" w14:textId="0D973109" w:rsidR="00A623C4" w:rsidRDefault="00DD5FFA" w:rsidP="00A623C4">
      <w:pPr>
        <w:spacing w:line="360" w:lineRule="auto"/>
        <w:jc w:val="both"/>
        <w:rPr>
          <w:rFonts w:ascii="Arial" w:hAnsi="Arial" w:cs="Arial"/>
        </w:rPr>
      </w:pPr>
      <w:r w:rsidRPr="00DD5FFA">
        <w:rPr>
          <w:rFonts w:ascii="Arial" w:hAnsi="Arial" w:cs="Arial"/>
        </w:rPr>
        <w:t xml:space="preserve">Fiscalizar la gestión financiera para comprobar el cumplimiento de lo dispuesto en el Presupuesto de Egresos para el ejercicio fiscal </w:t>
      </w:r>
      <w:r>
        <w:rPr>
          <w:rFonts w:ascii="Arial" w:hAnsi="Arial" w:cs="Arial"/>
        </w:rPr>
        <w:t>2020</w:t>
      </w:r>
      <w:r w:rsidRPr="00DD5FFA">
        <w:rPr>
          <w:rFonts w:ascii="Arial" w:hAnsi="Arial" w:cs="Arial"/>
        </w:rPr>
        <w:t xml:space="preserve">, y demás disposiciones legales aplicables, en cuanto al gasto público, </w:t>
      </w:r>
      <w:r w:rsidRPr="008E375A">
        <w:rPr>
          <w:rFonts w:ascii="Arial" w:hAnsi="Arial" w:cs="Arial"/>
        </w:rPr>
        <w:t>incluyendo la revisión del manejo, la custodia y la aplicación</w:t>
      </w:r>
      <w:r w:rsidRPr="00DD5FFA">
        <w:rPr>
          <w:rFonts w:ascii="Arial" w:hAnsi="Arial" w:cs="Arial"/>
        </w:rPr>
        <w:t xml:space="preserve"> de recursos públicos estatales</w:t>
      </w:r>
      <w:r w:rsidR="008E375A">
        <w:rPr>
          <w:rFonts w:ascii="Arial" w:hAnsi="Arial" w:cs="Arial"/>
        </w:rPr>
        <w:t xml:space="preserve"> y propios</w:t>
      </w:r>
      <w:r w:rsidRPr="00DD5FFA">
        <w:rPr>
          <w:rFonts w:ascii="Arial" w:hAnsi="Arial" w:cs="Arial"/>
        </w:rPr>
        <w:t>, así como de la demás información financiera, contable, patrimonial, presupuestaria y programática, conforme a las disposiciones aplicables.</w:t>
      </w:r>
    </w:p>
    <w:p w14:paraId="02011C46" w14:textId="77777777" w:rsidR="00DD5FFA" w:rsidRPr="00995A30" w:rsidRDefault="00DD5FFA" w:rsidP="00A623C4">
      <w:pPr>
        <w:spacing w:line="360" w:lineRule="auto"/>
        <w:jc w:val="both"/>
        <w:rPr>
          <w:rFonts w:ascii="Arial" w:hAnsi="Arial" w:cs="Arial"/>
          <w:bCs/>
          <w:sz w:val="18"/>
          <w:szCs w:val="18"/>
        </w:rPr>
      </w:pPr>
    </w:p>
    <w:p w14:paraId="6A06A2C1" w14:textId="77777777" w:rsidR="00A623C4" w:rsidRPr="00AA50F2" w:rsidRDefault="00A623C4" w:rsidP="00A623C4">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1B9EABB8" w14:textId="77777777" w:rsidR="00A623C4" w:rsidRPr="00975557" w:rsidRDefault="00A623C4" w:rsidP="00A623C4">
      <w:pPr>
        <w:spacing w:line="360" w:lineRule="auto"/>
        <w:jc w:val="both"/>
        <w:rPr>
          <w:rFonts w:ascii="Arial" w:hAnsi="Arial" w:cs="Arial"/>
          <w:sz w:val="20"/>
          <w:szCs w:val="20"/>
        </w:rPr>
      </w:pPr>
    </w:p>
    <w:p w14:paraId="312E7102" w14:textId="53C6456C" w:rsidR="00A623C4" w:rsidRPr="009879F6" w:rsidRDefault="00A623C4" w:rsidP="00A623C4">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7A47E0">
        <w:rPr>
          <w:rFonts w:ascii="Arial" w:hAnsi="Arial" w:cs="Arial"/>
        </w:rPr>
        <w:t>49,334,008.21</w:t>
      </w:r>
    </w:p>
    <w:p w14:paraId="5DB23849" w14:textId="77777777" w:rsidR="00A623C4" w:rsidRPr="00975557" w:rsidRDefault="00A623C4" w:rsidP="00A623C4">
      <w:pPr>
        <w:spacing w:line="360" w:lineRule="auto"/>
        <w:rPr>
          <w:rFonts w:ascii="Arial" w:hAnsi="Arial" w:cs="Arial"/>
          <w:sz w:val="20"/>
          <w:szCs w:val="20"/>
        </w:rPr>
      </w:pPr>
    </w:p>
    <w:p w14:paraId="19262B34" w14:textId="728D4A95" w:rsidR="00A623C4" w:rsidRPr="009879F6" w:rsidRDefault="00A623C4" w:rsidP="00A623C4">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7A47E0">
        <w:rPr>
          <w:rFonts w:ascii="Arial" w:hAnsi="Arial" w:cs="Arial"/>
        </w:rPr>
        <w:t>49,334,008.21</w:t>
      </w:r>
    </w:p>
    <w:p w14:paraId="685425D5" w14:textId="77777777" w:rsidR="00A623C4" w:rsidRPr="00975557" w:rsidRDefault="00A623C4" w:rsidP="00A623C4">
      <w:pPr>
        <w:spacing w:line="360" w:lineRule="auto"/>
        <w:rPr>
          <w:rFonts w:ascii="Arial" w:hAnsi="Arial" w:cs="Arial"/>
          <w:sz w:val="20"/>
          <w:szCs w:val="20"/>
        </w:rPr>
      </w:pPr>
    </w:p>
    <w:p w14:paraId="7F3C4234" w14:textId="37377D1D" w:rsidR="00A623C4" w:rsidRPr="009879F6" w:rsidRDefault="00A623C4" w:rsidP="00A623C4">
      <w:pPr>
        <w:spacing w:line="360" w:lineRule="auto"/>
        <w:rPr>
          <w:rFonts w:ascii="Arial" w:hAnsi="Arial" w:cs="Arial"/>
        </w:rPr>
      </w:pPr>
      <w:r w:rsidRPr="009879F6">
        <w:rPr>
          <w:rFonts w:ascii="Arial" w:hAnsi="Arial" w:cs="Arial"/>
          <w:b/>
        </w:rPr>
        <w:t>Muestra Auditada:</w:t>
      </w:r>
      <w:r w:rsidR="007A47E0">
        <w:rPr>
          <w:rFonts w:ascii="Arial" w:hAnsi="Arial" w:cs="Arial"/>
        </w:rPr>
        <w:t xml:space="preserve"> </w:t>
      </w:r>
      <w:r w:rsidRPr="009879F6">
        <w:rPr>
          <w:rFonts w:ascii="Arial" w:hAnsi="Arial" w:cs="Arial"/>
        </w:rPr>
        <w:t>$</w:t>
      </w:r>
      <w:r w:rsidR="007A47E0">
        <w:rPr>
          <w:rFonts w:ascii="Arial" w:hAnsi="Arial" w:cs="Arial"/>
        </w:rPr>
        <w:t>35,416,480.37</w:t>
      </w:r>
    </w:p>
    <w:p w14:paraId="45C4BF53" w14:textId="77777777" w:rsidR="00A623C4" w:rsidRPr="00995A30" w:rsidRDefault="00A623C4" w:rsidP="00A623C4">
      <w:pPr>
        <w:spacing w:line="360" w:lineRule="auto"/>
        <w:rPr>
          <w:rFonts w:ascii="Arial" w:hAnsi="Arial" w:cs="Arial"/>
          <w:sz w:val="18"/>
          <w:szCs w:val="18"/>
        </w:rPr>
      </w:pPr>
    </w:p>
    <w:p w14:paraId="27ECA580" w14:textId="734C8962" w:rsidR="00A623C4" w:rsidRPr="009879F6" w:rsidRDefault="00A623C4" w:rsidP="00A623C4">
      <w:pPr>
        <w:spacing w:line="360" w:lineRule="auto"/>
        <w:rPr>
          <w:rFonts w:ascii="Arial" w:hAnsi="Arial" w:cs="Arial"/>
        </w:rPr>
      </w:pPr>
      <w:r w:rsidRPr="009879F6">
        <w:rPr>
          <w:rFonts w:ascii="Arial" w:hAnsi="Arial" w:cs="Arial"/>
          <w:b/>
        </w:rPr>
        <w:t>Representatividad de la Muestra:</w:t>
      </w:r>
      <w:r w:rsidR="00392F1E">
        <w:rPr>
          <w:rFonts w:ascii="Arial" w:hAnsi="Arial" w:cs="Arial"/>
        </w:rPr>
        <w:t xml:space="preserve"> 71.79</w:t>
      </w:r>
      <w:r w:rsidRPr="009879F6">
        <w:rPr>
          <w:rFonts w:ascii="Arial" w:hAnsi="Arial" w:cs="Arial"/>
        </w:rPr>
        <w:t>%</w:t>
      </w:r>
    </w:p>
    <w:p w14:paraId="085A4554" w14:textId="7B408396" w:rsidR="007A47E0" w:rsidRPr="002E2B2B" w:rsidRDefault="007A47E0" w:rsidP="007A47E0">
      <w:pPr>
        <w:spacing w:line="360" w:lineRule="auto"/>
        <w:ind w:right="190"/>
        <w:jc w:val="both"/>
        <w:rPr>
          <w:rFonts w:ascii="Arial" w:hAnsi="Arial" w:cs="Arial"/>
        </w:rPr>
      </w:pPr>
      <w:r w:rsidRPr="002E2B2B">
        <w:rPr>
          <w:rFonts w:ascii="Arial" w:hAnsi="Arial" w:cs="Arial"/>
        </w:rPr>
        <w:lastRenderedPageBreak/>
        <w:t xml:space="preserve">Durante el ejercicio auditado, el ente fiscalizado no recibió recursos federales, por lo cual el Universo y la Población Objetivo quedaron integradas únicamente por recursos </w:t>
      </w:r>
      <w:r>
        <w:rPr>
          <w:rFonts w:ascii="Arial" w:hAnsi="Arial" w:cs="Arial"/>
        </w:rPr>
        <w:t xml:space="preserve">estatales </w:t>
      </w:r>
      <w:r w:rsidR="00332A58">
        <w:rPr>
          <w:rFonts w:ascii="Arial" w:hAnsi="Arial" w:cs="Arial"/>
        </w:rPr>
        <w:t xml:space="preserve">y </w:t>
      </w:r>
      <w:r>
        <w:rPr>
          <w:rFonts w:ascii="Arial" w:hAnsi="Arial" w:cs="Arial"/>
        </w:rPr>
        <w:t>propios</w:t>
      </w:r>
      <w:r w:rsidRPr="002E2B2B">
        <w:rPr>
          <w:rFonts w:ascii="Arial" w:hAnsi="Arial" w:cs="Arial"/>
        </w:rPr>
        <w:t>.</w:t>
      </w:r>
    </w:p>
    <w:p w14:paraId="6D348182" w14:textId="77777777" w:rsidR="00A623C4" w:rsidRPr="00975557" w:rsidRDefault="00A623C4" w:rsidP="00A623C4">
      <w:pPr>
        <w:spacing w:line="360" w:lineRule="auto"/>
        <w:ind w:right="190"/>
        <w:jc w:val="both"/>
        <w:rPr>
          <w:rFonts w:ascii="Arial" w:hAnsi="Arial" w:cs="Arial"/>
          <w:sz w:val="20"/>
          <w:szCs w:val="20"/>
        </w:rPr>
      </w:pPr>
    </w:p>
    <w:p w14:paraId="049D3403" w14:textId="648798A4" w:rsidR="00A623C4" w:rsidRDefault="00DD5FFA" w:rsidP="007A47E0">
      <w:pPr>
        <w:spacing w:line="360" w:lineRule="auto"/>
        <w:ind w:right="141"/>
        <w:jc w:val="both"/>
        <w:rPr>
          <w:rFonts w:ascii="Arial" w:hAnsi="Arial" w:cs="Arial"/>
        </w:rPr>
      </w:pPr>
      <w:r w:rsidRPr="00DD5FFA">
        <w:rPr>
          <w:rFonts w:ascii="Arial" w:hAnsi="Arial" w:cs="Arial"/>
        </w:rPr>
        <w:t xml:space="preserve">La población objetivo se determinó sobre la base de los gastos que forman parte del Estado Analítico del Ejercicio del Presupuesto de Egresos </w:t>
      </w:r>
      <w:r w:rsidR="00CE7182">
        <w:rPr>
          <w:rFonts w:ascii="Arial" w:hAnsi="Arial" w:cs="Arial"/>
        </w:rPr>
        <w:t xml:space="preserve">por Objeto del Gasto </w:t>
      </w:r>
      <w:r w:rsidRPr="00DD5FFA">
        <w:rPr>
          <w:rFonts w:ascii="Arial" w:hAnsi="Arial" w:cs="Arial"/>
        </w:rPr>
        <w:t>por el período comprendido del 01 de enero al 31 de diciembre de 202</w:t>
      </w:r>
      <w:r w:rsidR="00995A30">
        <w:rPr>
          <w:rFonts w:ascii="Arial" w:hAnsi="Arial" w:cs="Arial"/>
        </w:rPr>
        <w:t>0.</w:t>
      </w:r>
    </w:p>
    <w:p w14:paraId="40F7C44A" w14:textId="77777777" w:rsidR="00995A30" w:rsidRDefault="00995A30" w:rsidP="007A47E0">
      <w:pPr>
        <w:spacing w:line="360" w:lineRule="auto"/>
        <w:ind w:right="141"/>
        <w:jc w:val="both"/>
        <w:rPr>
          <w:rFonts w:ascii="Arial" w:hAnsi="Arial" w:cs="Arial"/>
        </w:rPr>
      </w:pPr>
    </w:p>
    <w:p w14:paraId="04BAED81" w14:textId="77777777" w:rsidR="00A623C4" w:rsidRDefault="00A623C4" w:rsidP="00A623C4">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362F21" w14:textId="77777777" w:rsidR="00A623C4" w:rsidRPr="00975557" w:rsidRDefault="00A623C4" w:rsidP="00A623C4">
      <w:pPr>
        <w:tabs>
          <w:tab w:val="left" w:pos="9498"/>
        </w:tabs>
        <w:spacing w:line="360" w:lineRule="auto"/>
        <w:ind w:right="190"/>
        <w:jc w:val="both"/>
        <w:rPr>
          <w:rFonts w:ascii="Arial" w:hAnsi="Arial" w:cs="Arial"/>
          <w:bCs/>
          <w:sz w:val="18"/>
          <w:szCs w:val="18"/>
        </w:rPr>
      </w:pPr>
    </w:p>
    <w:p w14:paraId="43BAC07B" w14:textId="67D38370" w:rsidR="00A623C4" w:rsidRPr="009879F6" w:rsidRDefault="00A623C4" w:rsidP="00A623C4">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5539C6">
        <w:rPr>
          <w:rFonts w:ascii="Arial" w:hAnsi="Arial" w:cs="Arial"/>
          <w:bCs/>
        </w:rPr>
        <w:t>gastos y otras pérdidas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E771110" w14:textId="77777777" w:rsidR="00A623C4" w:rsidRPr="00975557" w:rsidRDefault="00A623C4" w:rsidP="00A623C4">
      <w:pPr>
        <w:spacing w:line="360" w:lineRule="auto"/>
        <w:ind w:right="190"/>
        <w:jc w:val="both"/>
        <w:rPr>
          <w:rFonts w:ascii="Arial" w:hAnsi="Arial" w:cs="Arial"/>
          <w:bCs/>
          <w:sz w:val="20"/>
          <w:szCs w:val="20"/>
        </w:rPr>
      </w:pPr>
    </w:p>
    <w:p w14:paraId="68D67F9B" w14:textId="1DD4A034" w:rsidR="00A623C4" w:rsidRDefault="00A623C4" w:rsidP="00A623C4">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sidR="00BE3D4F">
        <w:rPr>
          <w:rFonts w:ascii="Arial" w:hAnsi="Arial" w:cs="Arial"/>
          <w:b/>
        </w:rPr>
        <w:t>Instituto de Movilidad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w:t>
      </w:r>
      <w:r>
        <w:rPr>
          <w:rFonts w:ascii="Arial" w:hAnsi="Arial" w:cs="Arial"/>
          <w:bCs/>
        </w:rPr>
        <w:lastRenderedPageBreak/>
        <w:t xml:space="preserve">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7EA53A0" w14:textId="77777777" w:rsidR="00A623C4" w:rsidRPr="00975557" w:rsidRDefault="00A623C4" w:rsidP="00A623C4">
      <w:pPr>
        <w:spacing w:line="360" w:lineRule="auto"/>
        <w:ind w:right="190"/>
        <w:jc w:val="both"/>
        <w:rPr>
          <w:rFonts w:ascii="Arial" w:hAnsi="Arial" w:cs="Arial"/>
          <w:bCs/>
          <w:sz w:val="20"/>
          <w:szCs w:val="20"/>
        </w:rPr>
      </w:pPr>
    </w:p>
    <w:p w14:paraId="4396CD55" w14:textId="77777777" w:rsidR="00A623C4" w:rsidRDefault="00A623C4" w:rsidP="00A623C4">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B50162A" w14:textId="77777777" w:rsidR="00A623C4" w:rsidRPr="00975557" w:rsidRDefault="00A623C4" w:rsidP="00A623C4">
      <w:pPr>
        <w:spacing w:line="360" w:lineRule="auto"/>
        <w:jc w:val="both"/>
        <w:rPr>
          <w:rFonts w:ascii="Arial" w:hAnsi="Arial" w:cs="Arial"/>
          <w:b/>
          <w:sz w:val="20"/>
          <w:szCs w:val="20"/>
        </w:rPr>
      </w:pPr>
    </w:p>
    <w:p w14:paraId="1A6F0C65" w14:textId="77777777" w:rsidR="00A623C4" w:rsidRPr="008D4630" w:rsidRDefault="00A623C4" w:rsidP="00A623C4">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313B4EF1" w14:textId="77777777" w:rsidR="00A623C4" w:rsidRPr="00975557" w:rsidRDefault="00A623C4" w:rsidP="00A623C4">
      <w:pPr>
        <w:spacing w:line="360" w:lineRule="auto"/>
        <w:jc w:val="both"/>
        <w:rPr>
          <w:rFonts w:ascii="Arial" w:hAnsi="Arial" w:cs="Arial"/>
          <w:b/>
          <w:sz w:val="18"/>
          <w:szCs w:val="18"/>
        </w:rPr>
      </w:pPr>
    </w:p>
    <w:p w14:paraId="4B503BA2" w14:textId="0E5BFED0" w:rsidR="00A623C4" w:rsidRDefault="00A623C4" w:rsidP="00C142A1">
      <w:pPr>
        <w:spacing w:line="360" w:lineRule="auto"/>
        <w:ind w:right="141"/>
        <w:jc w:val="both"/>
        <w:rPr>
          <w:rFonts w:ascii="Arial" w:hAnsi="Arial" w:cs="Arial"/>
          <w:bCs/>
        </w:rPr>
      </w:pPr>
      <w:r w:rsidRPr="007917B5">
        <w:rPr>
          <w:rFonts w:ascii="Arial" w:hAnsi="Arial" w:cs="Arial"/>
        </w:rPr>
        <w:t xml:space="preserve">Se revisaron las áreas de </w:t>
      </w:r>
      <w:r w:rsidRPr="007917B5">
        <w:rPr>
          <w:rFonts w:ascii="Arial" w:hAnsi="Arial" w:cs="Arial"/>
          <w:bCs/>
        </w:rPr>
        <w:t>Dirección Administrativa</w:t>
      </w:r>
      <w:r w:rsidR="00AD2AC2" w:rsidRPr="007917B5">
        <w:rPr>
          <w:rFonts w:ascii="Arial" w:hAnsi="Arial" w:cs="Arial"/>
          <w:bCs/>
        </w:rPr>
        <w:t>, la Subdirección de Administración; así</w:t>
      </w:r>
      <w:r w:rsidR="00AD2AC2">
        <w:rPr>
          <w:rFonts w:ascii="Arial" w:hAnsi="Arial" w:cs="Arial"/>
          <w:bCs/>
        </w:rPr>
        <w:t xml:space="preserve"> como los departamentos de Recursos Humanos, Recursos Materiales y Servicios Generales; Contabilidad, Control Presupuestario y Cuenta Pública del </w:t>
      </w:r>
      <w:r w:rsidR="00AD2AC2" w:rsidRPr="00AD2AC2">
        <w:rPr>
          <w:rFonts w:ascii="Arial" w:hAnsi="Arial" w:cs="Arial"/>
          <w:b/>
          <w:bCs/>
        </w:rPr>
        <w:t>Instituto</w:t>
      </w:r>
      <w:r w:rsidR="00BE3D4F" w:rsidRPr="00AD2AC2">
        <w:rPr>
          <w:rFonts w:ascii="Arial" w:hAnsi="Arial" w:cs="Arial"/>
          <w:b/>
          <w:bCs/>
        </w:rPr>
        <w:t xml:space="preserve"> de</w:t>
      </w:r>
      <w:r w:rsidR="00BE3D4F">
        <w:rPr>
          <w:rFonts w:ascii="Arial" w:hAnsi="Arial" w:cs="Arial"/>
          <w:b/>
          <w:bCs/>
          <w:highlight w:val="yellow"/>
        </w:rPr>
        <w:t xml:space="preserve"> </w:t>
      </w:r>
      <w:r w:rsidR="00BE3D4F" w:rsidRPr="00AD2AC2">
        <w:rPr>
          <w:rFonts w:ascii="Arial" w:hAnsi="Arial" w:cs="Arial"/>
          <w:b/>
          <w:bCs/>
        </w:rPr>
        <w:t>Movilidad del Estado de Quintana Roo</w:t>
      </w:r>
      <w:r w:rsidRPr="00AD2AC2">
        <w:rPr>
          <w:rFonts w:ascii="Arial" w:hAnsi="Arial" w:cs="Arial"/>
          <w:bCs/>
        </w:rPr>
        <w:t>.</w:t>
      </w:r>
    </w:p>
    <w:p w14:paraId="600C85A6" w14:textId="77777777" w:rsidR="00A623C4" w:rsidRPr="00975557" w:rsidRDefault="00A623C4" w:rsidP="00A623C4">
      <w:pPr>
        <w:spacing w:line="360" w:lineRule="auto"/>
        <w:jc w:val="both"/>
        <w:rPr>
          <w:rFonts w:ascii="Arial" w:hAnsi="Arial" w:cs="Arial"/>
          <w:sz w:val="22"/>
          <w:szCs w:val="22"/>
        </w:rPr>
      </w:pPr>
    </w:p>
    <w:p w14:paraId="5B701C4D" w14:textId="77777777" w:rsidR="00A623C4" w:rsidRDefault="00A623C4" w:rsidP="00A623C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6FA9E7F" w14:textId="77777777" w:rsidR="00A623C4" w:rsidRPr="00975557" w:rsidRDefault="00A623C4" w:rsidP="00A623C4">
      <w:pPr>
        <w:spacing w:line="360" w:lineRule="auto"/>
        <w:jc w:val="both"/>
        <w:rPr>
          <w:rFonts w:ascii="Arial" w:hAnsi="Arial" w:cs="Arial"/>
          <w:b/>
          <w:sz w:val="18"/>
          <w:szCs w:val="18"/>
        </w:rPr>
      </w:pPr>
    </w:p>
    <w:p w14:paraId="079F56E4" w14:textId="77777777" w:rsidR="00A623C4" w:rsidRPr="00C47B98" w:rsidRDefault="00A623C4" w:rsidP="00A623C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w:t>
      </w:r>
      <w:r w:rsidRPr="00C47B98">
        <w:rPr>
          <w:rFonts w:ascii="Arial" w:hAnsi="Arial" w:cs="Arial"/>
          <w:bCs/>
        </w:rPr>
        <w:lastRenderedPageBreak/>
        <w:t xml:space="preserve">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6D519E9" w14:textId="77777777" w:rsidR="00A623C4" w:rsidRPr="00975557" w:rsidRDefault="00A623C4" w:rsidP="00A623C4">
      <w:pPr>
        <w:spacing w:line="360" w:lineRule="auto"/>
        <w:jc w:val="both"/>
        <w:rPr>
          <w:rFonts w:ascii="Arial" w:hAnsi="Arial" w:cs="Arial"/>
          <w:bCs/>
          <w:sz w:val="16"/>
          <w:szCs w:val="16"/>
        </w:rPr>
      </w:pPr>
    </w:p>
    <w:p w14:paraId="384FB226" w14:textId="77777777" w:rsidR="00A623C4" w:rsidRPr="00C47B98" w:rsidRDefault="00A623C4" w:rsidP="00A623C4">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4721F9D" w14:textId="77777777" w:rsidR="00A623C4" w:rsidRPr="00975557" w:rsidRDefault="00A623C4" w:rsidP="00A623C4">
      <w:pPr>
        <w:spacing w:line="360" w:lineRule="auto"/>
        <w:jc w:val="both"/>
        <w:rPr>
          <w:rFonts w:ascii="Arial" w:hAnsi="Arial" w:cs="Arial"/>
          <w:bCs/>
          <w:sz w:val="16"/>
          <w:szCs w:val="16"/>
        </w:rPr>
      </w:pPr>
    </w:p>
    <w:p w14:paraId="0933B2A4" w14:textId="77777777" w:rsidR="00A623C4" w:rsidRPr="00C47B98" w:rsidRDefault="00A623C4" w:rsidP="00A623C4">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58E092" w14:textId="77777777" w:rsidR="00A623C4" w:rsidRPr="00975557" w:rsidRDefault="00A623C4" w:rsidP="00A623C4">
      <w:pPr>
        <w:spacing w:line="360" w:lineRule="auto"/>
        <w:jc w:val="both"/>
        <w:rPr>
          <w:rFonts w:ascii="Arial" w:hAnsi="Arial" w:cs="Arial"/>
          <w:bCs/>
          <w:sz w:val="16"/>
          <w:szCs w:val="16"/>
        </w:rPr>
      </w:pPr>
    </w:p>
    <w:p w14:paraId="2FAC1436" w14:textId="77777777" w:rsidR="00A623C4" w:rsidRDefault="00A623C4" w:rsidP="00975557">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9026EB" w14:textId="77777777" w:rsidR="00A623C4" w:rsidRPr="00995A30" w:rsidRDefault="00A623C4" w:rsidP="00975557">
      <w:pPr>
        <w:spacing w:line="360" w:lineRule="auto"/>
        <w:jc w:val="both"/>
        <w:rPr>
          <w:rFonts w:ascii="Arial" w:hAnsi="Arial" w:cs="Arial"/>
          <w:bCs/>
          <w:sz w:val="20"/>
          <w:szCs w:val="20"/>
        </w:rPr>
      </w:pPr>
    </w:p>
    <w:p w14:paraId="42943682" w14:textId="2A3914C3" w:rsidR="00DD5FFA" w:rsidRDefault="00DD5FFA" w:rsidP="00315C6C">
      <w:pPr>
        <w:spacing w:line="360" w:lineRule="auto"/>
        <w:ind w:right="141"/>
        <w:jc w:val="both"/>
        <w:rPr>
          <w:rFonts w:ascii="Arial" w:hAnsi="Arial" w:cs="Arial"/>
          <w:bCs/>
        </w:rPr>
      </w:pPr>
      <w:r w:rsidRPr="007917B5">
        <w:rPr>
          <w:rFonts w:ascii="Arial" w:hAnsi="Arial" w:cs="Arial"/>
          <w:bCs/>
        </w:rPr>
        <w:t>1. Verificar que los controles internos implementados permitieron la adecuada gestión administrativa para el desarrollo eficiente de las operaciones, la obtención de información confiable y oportuna.</w:t>
      </w:r>
    </w:p>
    <w:p w14:paraId="6ADE4332" w14:textId="77777777" w:rsidR="00975557" w:rsidRPr="00995A30" w:rsidRDefault="00975557" w:rsidP="00315C6C">
      <w:pPr>
        <w:spacing w:line="360" w:lineRule="auto"/>
        <w:ind w:right="141"/>
        <w:jc w:val="both"/>
        <w:rPr>
          <w:rFonts w:ascii="Arial" w:hAnsi="Arial" w:cs="Arial"/>
          <w:bCs/>
          <w:sz w:val="20"/>
          <w:szCs w:val="20"/>
        </w:rPr>
      </w:pPr>
    </w:p>
    <w:p w14:paraId="4D344F3E" w14:textId="21EA97C5" w:rsidR="003470FE" w:rsidRDefault="003470FE" w:rsidP="00315C6C">
      <w:pPr>
        <w:spacing w:line="360" w:lineRule="auto"/>
        <w:ind w:right="141"/>
        <w:jc w:val="both"/>
        <w:rPr>
          <w:rFonts w:ascii="Arial" w:hAnsi="Arial" w:cs="Arial"/>
        </w:rPr>
      </w:pPr>
      <w:r>
        <w:rPr>
          <w:rFonts w:ascii="Arial" w:hAnsi="Arial" w:cs="Arial"/>
        </w:rPr>
        <w:t>2. C</w:t>
      </w:r>
      <w:r w:rsidRPr="003470FE">
        <w:rPr>
          <w:rFonts w:ascii="Arial" w:hAnsi="Arial" w:cs="Arial"/>
        </w:rPr>
        <w:t xml:space="preserve">omprobar, en el portal del Servicio de Administración Tributaria (SAT), que los comprobantes fiscales emitidos por los proveedores se encuentran vigentes. </w:t>
      </w:r>
    </w:p>
    <w:p w14:paraId="3FCD3623" w14:textId="77777777" w:rsidR="00975557" w:rsidRPr="00EC4DEC" w:rsidRDefault="00975557" w:rsidP="00315C6C">
      <w:pPr>
        <w:spacing w:line="360" w:lineRule="auto"/>
        <w:ind w:right="141"/>
        <w:jc w:val="both"/>
        <w:rPr>
          <w:rFonts w:ascii="Arial" w:hAnsi="Arial" w:cs="Arial"/>
          <w:sz w:val="16"/>
          <w:szCs w:val="16"/>
        </w:rPr>
      </w:pPr>
    </w:p>
    <w:p w14:paraId="6AD0E479" w14:textId="630B1931" w:rsidR="003470FE" w:rsidRDefault="003470FE" w:rsidP="00315C6C">
      <w:pPr>
        <w:spacing w:line="360" w:lineRule="auto"/>
        <w:ind w:right="141"/>
        <w:jc w:val="both"/>
        <w:rPr>
          <w:rFonts w:ascii="Arial" w:hAnsi="Arial" w:cs="Arial"/>
        </w:rPr>
      </w:pPr>
      <w:r>
        <w:rPr>
          <w:rFonts w:ascii="Arial" w:hAnsi="Arial" w:cs="Arial"/>
        </w:rPr>
        <w:lastRenderedPageBreak/>
        <w:t xml:space="preserve">3. </w:t>
      </w:r>
      <w:r w:rsidRPr="003470FE">
        <w:rPr>
          <w:rFonts w:ascii="Arial" w:hAnsi="Arial" w:cs="Arial"/>
        </w:rPr>
        <w:t xml:space="preserve">Confirmar que las cifras reportadas en la Cuenta Pública del ejercicio </w:t>
      </w:r>
      <w:r w:rsidR="00FA75B6">
        <w:rPr>
          <w:rFonts w:ascii="Arial" w:hAnsi="Arial" w:cs="Arial"/>
        </w:rPr>
        <w:t>fiscal 2020 se corresponda</w:t>
      </w:r>
      <w:r w:rsidRPr="003470FE">
        <w:rPr>
          <w:rFonts w:ascii="Arial" w:hAnsi="Arial" w:cs="Arial"/>
        </w:rPr>
        <w:t>n con las registradas por la en</w:t>
      </w:r>
      <w:r w:rsidR="003E36B8">
        <w:rPr>
          <w:rFonts w:ascii="Arial" w:hAnsi="Arial" w:cs="Arial"/>
        </w:rPr>
        <w:t>tidad fiscalizada en su Estado Analítico d</w:t>
      </w:r>
      <w:r w:rsidRPr="003470FE">
        <w:rPr>
          <w:rFonts w:ascii="Arial" w:hAnsi="Arial" w:cs="Arial"/>
        </w:rPr>
        <w:t xml:space="preserve">el Ejercicio del Presupuesto y que las modificaciones del presupuesto original se encuentran respaldadas en las adecuaciones presupuestarias de acuerdo con la normativa. </w:t>
      </w:r>
    </w:p>
    <w:p w14:paraId="713DABDC" w14:textId="77777777" w:rsidR="00975557" w:rsidRPr="00995A30" w:rsidRDefault="00975557" w:rsidP="00315C6C">
      <w:pPr>
        <w:spacing w:line="360" w:lineRule="auto"/>
        <w:ind w:right="141"/>
        <w:jc w:val="both"/>
        <w:rPr>
          <w:rFonts w:ascii="Arial" w:hAnsi="Arial" w:cs="Arial"/>
          <w:sz w:val="20"/>
          <w:szCs w:val="20"/>
        </w:rPr>
      </w:pPr>
    </w:p>
    <w:p w14:paraId="6AD9E5D3" w14:textId="747142B9" w:rsidR="003470FE" w:rsidRDefault="003470FE" w:rsidP="00315C6C">
      <w:pPr>
        <w:spacing w:line="360" w:lineRule="auto"/>
        <w:ind w:right="141"/>
        <w:jc w:val="both"/>
        <w:rPr>
          <w:rFonts w:ascii="Arial" w:hAnsi="Arial" w:cs="Arial"/>
        </w:rPr>
      </w:pPr>
      <w:r>
        <w:rPr>
          <w:rFonts w:ascii="Arial" w:hAnsi="Arial" w:cs="Arial"/>
        </w:rPr>
        <w:t xml:space="preserve">4. </w:t>
      </w:r>
      <w:r w:rsidRPr="003470FE">
        <w:rPr>
          <w:rFonts w:ascii="Arial" w:hAnsi="Arial" w:cs="Arial"/>
        </w:rPr>
        <w:t xml:space="preserve">Verificar que las adquisiciones, arrendamientos y servicios se efectuaron de conformidad con los procedimientos de contratación </w:t>
      </w:r>
      <w:r w:rsidR="00E9735F" w:rsidRPr="000078B9">
        <w:rPr>
          <w:rFonts w:ascii="Arial" w:hAnsi="Arial" w:cs="Arial"/>
        </w:rPr>
        <w:t>de conformidad con la Ley de Adquisiciones, Arrendamientos y Prestación de Servicios Relacionados con Bienes Mue</w:t>
      </w:r>
      <w:r w:rsidR="00E9735F">
        <w:rPr>
          <w:rFonts w:ascii="Arial" w:hAnsi="Arial" w:cs="Arial"/>
        </w:rPr>
        <w:t>bles del Estado de Quintana Roo,</w:t>
      </w:r>
      <w:r w:rsidRPr="003470FE">
        <w:rPr>
          <w:rFonts w:ascii="Arial" w:hAnsi="Arial" w:cs="Arial"/>
        </w:rPr>
        <w:t xml:space="preserve"> y que las erogaciones se encuentran soportadas en la documentación justificativa y comprobatoria del gasto.</w:t>
      </w:r>
    </w:p>
    <w:p w14:paraId="3819A5FF" w14:textId="77777777" w:rsidR="00975557" w:rsidRPr="00995A30" w:rsidRDefault="00975557" w:rsidP="00315C6C">
      <w:pPr>
        <w:spacing w:line="360" w:lineRule="auto"/>
        <w:ind w:right="141"/>
        <w:jc w:val="both"/>
        <w:rPr>
          <w:rFonts w:ascii="Arial" w:hAnsi="Arial" w:cs="Arial"/>
          <w:sz w:val="20"/>
          <w:szCs w:val="20"/>
        </w:rPr>
      </w:pPr>
    </w:p>
    <w:p w14:paraId="28FA3F6B" w14:textId="7ACC00CE" w:rsidR="003470FE" w:rsidRDefault="003470FE" w:rsidP="00315C6C">
      <w:pPr>
        <w:spacing w:line="360" w:lineRule="auto"/>
        <w:ind w:right="141"/>
        <w:jc w:val="both"/>
        <w:rPr>
          <w:rFonts w:ascii="Arial" w:hAnsi="Arial" w:cs="Arial"/>
        </w:rPr>
      </w:pPr>
      <w:r w:rsidRPr="003470FE">
        <w:rPr>
          <w:rFonts w:ascii="Arial" w:hAnsi="Arial" w:cs="Arial"/>
        </w:rPr>
        <w:t xml:space="preserve">5. Verificar que la asignación de remuneraciones se ajustó a los catálogos, tabuladores, cuotas y tarifas autorizadas y que se otorgaron conforme a las políticas, procedimientos y condiciones generales de trabajo. </w:t>
      </w:r>
    </w:p>
    <w:p w14:paraId="7F47E69A" w14:textId="77777777" w:rsidR="00975557" w:rsidRPr="00995A30" w:rsidRDefault="00975557" w:rsidP="00315C6C">
      <w:pPr>
        <w:spacing w:line="360" w:lineRule="auto"/>
        <w:ind w:right="141"/>
        <w:jc w:val="both"/>
        <w:rPr>
          <w:rFonts w:ascii="Arial" w:hAnsi="Arial" w:cs="Arial"/>
          <w:sz w:val="20"/>
          <w:szCs w:val="20"/>
        </w:rPr>
      </w:pPr>
    </w:p>
    <w:p w14:paraId="3C487040" w14:textId="5199DDDB" w:rsidR="003470FE" w:rsidRDefault="003470FE" w:rsidP="00315C6C">
      <w:pPr>
        <w:spacing w:line="360" w:lineRule="auto"/>
        <w:ind w:right="141"/>
        <w:jc w:val="both"/>
        <w:rPr>
          <w:rFonts w:ascii="Arial" w:hAnsi="Arial" w:cs="Arial"/>
          <w:bCs/>
          <w:lang w:val="es-ES"/>
        </w:rPr>
      </w:pPr>
      <w:r>
        <w:rPr>
          <w:rFonts w:ascii="Arial" w:hAnsi="Arial" w:cs="Arial"/>
        </w:rPr>
        <w:t xml:space="preserve">6. </w:t>
      </w:r>
      <w:r w:rsidRPr="000078B9">
        <w:rPr>
          <w:rFonts w:ascii="Arial" w:hAnsi="Arial" w:cs="Arial"/>
          <w:bCs/>
          <w:lang w:val="es-ES"/>
        </w:rPr>
        <w:t>Constatar que el Instituto haya registrado las etapas del presupuesto de egresos, en las cuentas contables que, para tal efecto, establece el CONAC, las cuales deberán reflejar: el aprobado, modificado, comprometido, devengado, ejercido y pagado.</w:t>
      </w:r>
    </w:p>
    <w:p w14:paraId="16E10A21" w14:textId="77777777" w:rsidR="00975557" w:rsidRPr="00995A30" w:rsidRDefault="00975557" w:rsidP="00315C6C">
      <w:pPr>
        <w:spacing w:line="360" w:lineRule="auto"/>
        <w:ind w:right="141"/>
        <w:jc w:val="both"/>
        <w:rPr>
          <w:rFonts w:ascii="Arial" w:hAnsi="Arial" w:cs="Arial"/>
          <w:sz w:val="20"/>
          <w:szCs w:val="20"/>
        </w:rPr>
      </w:pPr>
    </w:p>
    <w:p w14:paraId="4452B0D6" w14:textId="37156A35" w:rsidR="003470FE" w:rsidRDefault="003470FE" w:rsidP="00315C6C">
      <w:pPr>
        <w:spacing w:line="360" w:lineRule="auto"/>
        <w:ind w:right="141"/>
        <w:jc w:val="both"/>
        <w:rPr>
          <w:rFonts w:ascii="Arial" w:hAnsi="Arial" w:cs="Arial"/>
        </w:rPr>
      </w:pPr>
      <w:r>
        <w:rPr>
          <w:rFonts w:ascii="Arial" w:hAnsi="Arial" w:cs="Arial"/>
        </w:rPr>
        <w:t xml:space="preserve">7. </w:t>
      </w:r>
      <w:r w:rsidRPr="003470FE">
        <w:rPr>
          <w:rFonts w:ascii="Arial" w:hAnsi="Arial" w:cs="Arial"/>
        </w:rPr>
        <w:t>Comprobar que los egresos por gastos de materiales y suministros (</w:t>
      </w:r>
      <w:r w:rsidR="00FA75B6">
        <w:rPr>
          <w:rFonts w:ascii="Arial" w:hAnsi="Arial" w:cs="Arial"/>
        </w:rPr>
        <w:t>c</w:t>
      </w:r>
      <w:r w:rsidRPr="003470FE">
        <w:rPr>
          <w:rFonts w:ascii="Arial" w:hAnsi="Arial" w:cs="Arial"/>
        </w:rPr>
        <w:t>apítu</w:t>
      </w:r>
      <w:r w:rsidR="00FA75B6">
        <w:rPr>
          <w:rFonts w:ascii="Arial" w:hAnsi="Arial" w:cs="Arial"/>
        </w:rPr>
        <w:t>lo 2000), servicios generales (c</w:t>
      </w:r>
      <w:r w:rsidRPr="003470FE">
        <w:rPr>
          <w:rFonts w:ascii="Arial" w:hAnsi="Arial" w:cs="Arial"/>
        </w:rPr>
        <w:t xml:space="preserve">apítulo 3000), </w:t>
      </w:r>
      <w:r w:rsidR="003E36B8">
        <w:rPr>
          <w:rFonts w:ascii="Arial" w:hAnsi="Arial" w:cs="Arial"/>
        </w:rPr>
        <w:t>y adquisiciones de bienes m</w:t>
      </w:r>
      <w:r>
        <w:rPr>
          <w:rFonts w:ascii="Arial" w:hAnsi="Arial" w:cs="Arial"/>
        </w:rPr>
        <w:t xml:space="preserve">uebles, </w:t>
      </w:r>
      <w:r w:rsidR="00FA75B6">
        <w:rPr>
          <w:rFonts w:ascii="Arial" w:hAnsi="Arial" w:cs="Arial"/>
        </w:rPr>
        <w:t>Inmuebles e Intangibles (c</w:t>
      </w:r>
      <w:r>
        <w:rPr>
          <w:rFonts w:ascii="Arial" w:hAnsi="Arial" w:cs="Arial"/>
        </w:rPr>
        <w:t>apítulo 5</w:t>
      </w:r>
      <w:r w:rsidRPr="003470FE">
        <w:rPr>
          <w:rFonts w:ascii="Arial" w:hAnsi="Arial" w:cs="Arial"/>
        </w:rPr>
        <w:t xml:space="preserve">000), se autorizaron, ejercieron, registraron y presentaron en los estados financieros y en la Cuenta Pública, así como que corresponden con los montos pactados y se encuentran justificados y comprobados, de conformidad con las disposiciones jurídicas aplicables. </w:t>
      </w:r>
    </w:p>
    <w:p w14:paraId="5668DBE6" w14:textId="77777777" w:rsidR="00975557" w:rsidRPr="00995A30" w:rsidRDefault="00975557" w:rsidP="00315C6C">
      <w:pPr>
        <w:spacing w:line="360" w:lineRule="auto"/>
        <w:ind w:right="141"/>
        <w:jc w:val="both"/>
        <w:rPr>
          <w:rFonts w:ascii="Arial" w:hAnsi="Arial" w:cs="Arial"/>
          <w:sz w:val="20"/>
          <w:szCs w:val="20"/>
        </w:rPr>
      </w:pPr>
    </w:p>
    <w:p w14:paraId="3356CBD9" w14:textId="7A095492" w:rsidR="003470FE" w:rsidRDefault="003470FE" w:rsidP="00315C6C">
      <w:pPr>
        <w:spacing w:line="360" w:lineRule="auto"/>
        <w:ind w:right="141"/>
        <w:jc w:val="both"/>
        <w:rPr>
          <w:rFonts w:ascii="Arial" w:hAnsi="Arial" w:cs="Arial"/>
        </w:rPr>
      </w:pPr>
      <w:r>
        <w:rPr>
          <w:rFonts w:ascii="Arial" w:hAnsi="Arial" w:cs="Arial"/>
        </w:rPr>
        <w:t xml:space="preserve">8. </w:t>
      </w:r>
      <w:r w:rsidRPr="003470FE">
        <w:rPr>
          <w:rFonts w:ascii="Arial" w:hAnsi="Arial" w:cs="Arial"/>
        </w:rPr>
        <w:t xml:space="preserve">Verificar que las contrataciones de bienes y servicios se autorizaron por las instancias competentes, se efectuaron y adjudicaron conforme al procedimiento establecido en las disposiciones jurídicas aplicables. </w:t>
      </w:r>
    </w:p>
    <w:p w14:paraId="52FE67CA" w14:textId="77777777" w:rsidR="00975557" w:rsidRPr="00EC4DEC" w:rsidRDefault="00975557" w:rsidP="00315C6C">
      <w:pPr>
        <w:spacing w:line="360" w:lineRule="auto"/>
        <w:ind w:right="141"/>
        <w:jc w:val="both"/>
        <w:rPr>
          <w:rFonts w:ascii="Arial" w:hAnsi="Arial" w:cs="Arial"/>
          <w:sz w:val="16"/>
          <w:szCs w:val="16"/>
        </w:rPr>
      </w:pPr>
    </w:p>
    <w:p w14:paraId="46F7D4D5" w14:textId="765256CF" w:rsidR="00E9735F" w:rsidRPr="000078B9" w:rsidRDefault="00E9735F" w:rsidP="00315C6C">
      <w:pPr>
        <w:spacing w:line="360" w:lineRule="auto"/>
        <w:ind w:right="141"/>
        <w:jc w:val="both"/>
        <w:rPr>
          <w:rFonts w:ascii="Arial" w:hAnsi="Arial" w:cs="Arial"/>
          <w:highlight w:val="yellow"/>
        </w:rPr>
      </w:pPr>
      <w:r>
        <w:rPr>
          <w:rFonts w:ascii="Arial" w:hAnsi="Arial" w:cs="Arial"/>
        </w:rPr>
        <w:t>9</w:t>
      </w:r>
      <w:r w:rsidRPr="000078B9">
        <w:rPr>
          <w:rFonts w:ascii="Arial" w:hAnsi="Arial" w:cs="Arial"/>
        </w:rPr>
        <w:t>. Examen crítico de los documentos que respaldan los gastos para verificar que los bienes o servicios hayan sido efectivamente recibidos y derivados de transacciones normales y propias del Instituto.</w:t>
      </w:r>
    </w:p>
    <w:p w14:paraId="2CACDAFA" w14:textId="77777777" w:rsidR="00E9735F" w:rsidRPr="00995A30" w:rsidRDefault="00E9735F" w:rsidP="00315C6C">
      <w:pPr>
        <w:spacing w:line="360" w:lineRule="auto"/>
        <w:ind w:right="141"/>
        <w:jc w:val="both"/>
        <w:rPr>
          <w:rFonts w:ascii="Arial" w:hAnsi="Arial" w:cs="Arial"/>
          <w:sz w:val="20"/>
          <w:szCs w:val="20"/>
          <w:highlight w:val="yellow"/>
        </w:rPr>
      </w:pPr>
    </w:p>
    <w:p w14:paraId="3BB786BB" w14:textId="3BC9370B" w:rsidR="00DD5FFA" w:rsidRPr="007917B5" w:rsidRDefault="00E9735F" w:rsidP="00315C6C">
      <w:pPr>
        <w:spacing w:line="360" w:lineRule="auto"/>
        <w:ind w:right="141"/>
        <w:jc w:val="both"/>
        <w:rPr>
          <w:rFonts w:ascii="Arial" w:hAnsi="Arial" w:cs="Arial"/>
          <w:bCs/>
          <w:strike/>
        </w:rPr>
      </w:pPr>
      <w:r>
        <w:rPr>
          <w:rFonts w:ascii="Arial" w:hAnsi="Arial" w:cs="Arial"/>
          <w:bCs/>
        </w:rPr>
        <w:t>10</w:t>
      </w:r>
      <w:r w:rsidR="00DD5FFA" w:rsidRPr="007917B5">
        <w:rPr>
          <w:rFonts w:ascii="Arial" w:hAnsi="Arial" w:cs="Arial"/>
          <w:bCs/>
        </w:rPr>
        <w:t>. Comprobar que el ejercicio del presupuesto se ajustó a los montos aprobados; que las modificaciones presupuestales tuvieron sustento financiero y que fueron aprobadas por quien era competente para ello.</w:t>
      </w:r>
    </w:p>
    <w:p w14:paraId="0AB892DF" w14:textId="77777777" w:rsidR="00DD5FFA" w:rsidRPr="00995A30" w:rsidRDefault="00DD5FFA" w:rsidP="00C142A1">
      <w:pPr>
        <w:spacing w:line="360" w:lineRule="auto"/>
        <w:ind w:right="141"/>
        <w:jc w:val="both"/>
        <w:rPr>
          <w:rFonts w:ascii="Arial" w:hAnsi="Arial" w:cs="Arial"/>
          <w:bCs/>
          <w:sz w:val="20"/>
          <w:szCs w:val="20"/>
          <w:highlight w:val="green"/>
        </w:rPr>
      </w:pPr>
    </w:p>
    <w:p w14:paraId="2C9E130F" w14:textId="77777777" w:rsidR="00A623C4" w:rsidRPr="00C47B98" w:rsidRDefault="00A623C4" w:rsidP="00C142A1">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74DDFEB" w14:textId="77777777" w:rsidR="00A623C4" w:rsidRPr="00995A30" w:rsidRDefault="00A623C4" w:rsidP="00A623C4">
      <w:pPr>
        <w:spacing w:line="360" w:lineRule="auto"/>
        <w:ind w:right="141"/>
        <w:jc w:val="both"/>
        <w:rPr>
          <w:rFonts w:ascii="Arial" w:hAnsi="Arial" w:cs="Arial"/>
          <w:b/>
          <w:sz w:val="20"/>
          <w:szCs w:val="20"/>
          <w:highlight w:val="darkYellow"/>
        </w:rPr>
      </w:pPr>
    </w:p>
    <w:p w14:paraId="1194206D" w14:textId="77777777" w:rsidR="00A623C4" w:rsidRPr="002E2A36" w:rsidRDefault="00A623C4" w:rsidP="00A623C4">
      <w:pPr>
        <w:spacing w:line="360" w:lineRule="auto"/>
        <w:ind w:right="141"/>
        <w:jc w:val="both"/>
        <w:rPr>
          <w:rFonts w:ascii="Arial" w:hAnsi="Arial" w:cs="Arial"/>
          <w:b/>
        </w:rPr>
      </w:pPr>
      <w:r w:rsidRPr="0004250B">
        <w:rPr>
          <w:rFonts w:ascii="Arial" w:hAnsi="Arial" w:cs="Arial"/>
          <w:b/>
        </w:rPr>
        <w:t>G. Servidores Públicos que intervinieron en la Auditoría</w:t>
      </w:r>
    </w:p>
    <w:p w14:paraId="7AACB835" w14:textId="77777777" w:rsidR="00A623C4" w:rsidRPr="00995A30" w:rsidRDefault="00A623C4" w:rsidP="00A623C4">
      <w:pPr>
        <w:spacing w:line="360" w:lineRule="auto"/>
        <w:ind w:right="141"/>
        <w:jc w:val="both"/>
        <w:rPr>
          <w:rFonts w:ascii="Arial" w:hAnsi="Arial" w:cs="Arial"/>
          <w:bCs/>
          <w:sz w:val="20"/>
          <w:szCs w:val="20"/>
        </w:rPr>
      </w:pPr>
    </w:p>
    <w:p w14:paraId="4F23B573" w14:textId="6CEE45BB" w:rsidR="00A623C4" w:rsidRDefault="00A623C4" w:rsidP="00A623C4">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5539C6">
        <w:rPr>
          <w:rFonts w:ascii="Arial" w:hAnsi="Arial" w:cs="Arial"/>
          <w:bCs/>
        </w:rPr>
        <w:t>ASEQROO/ASE/</w:t>
      </w:r>
      <w:r w:rsidRPr="007917B5">
        <w:rPr>
          <w:rFonts w:ascii="Arial" w:hAnsi="Arial" w:cs="Arial"/>
          <w:bCs/>
        </w:rPr>
        <w:t>AEMF/</w:t>
      </w:r>
      <w:r w:rsidR="007917B5" w:rsidRPr="007917B5">
        <w:rPr>
          <w:rFonts w:ascii="Arial" w:hAnsi="Arial" w:cs="Arial"/>
          <w:bCs/>
        </w:rPr>
        <w:t>1186</w:t>
      </w:r>
      <w:r w:rsidRPr="007917B5">
        <w:rPr>
          <w:rFonts w:ascii="Arial" w:hAnsi="Arial" w:cs="Arial"/>
          <w:bCs/>
        </w:rPr>
        <w:t>/0</w:t>
      </w:r>
      <w:r w:rsidR="005539C6" w:rsidRPr="007917B5">
        <w:rPr>
          <w:rFonts w:ascii="Arial" w:hAnsi="Arial" w:cs="Arial"/>
          <w:bCs/>
        </w:rPr>
        <w:t>9</w:t>
      </w:r>
      <w:r w:rsidRPr="007917B5">
        <w:rPr>
          <w:rFonts w:ascii="Arial" w:hAnsi="Arial" w:cs="Arial"/>
          <w:bCs/>
        </w:rPr>
        <w:t>/2021,</w:t>
      </w:r>
      <w:r>
        <w:rPr>
          <w:rFonts w:ascii="Arial" w:hAnsi="Arial" w:cs="Arial"/>
          <w:bCs/>
        </w:rPr>
        <w:t xml:space="preserve"> </w:t>
      </w:r>
      <w:r w:rsidRPr="0004250B">
        <w:rPr>
          <w:rFonts w:ascii="Arial" w:hAnsi="Arial" w:cs="Arial"/>
          <w:bCs/>
        </w:rPr>
        <w:t>siendo los servidores públicos a cargo de coordinar y supervisar la auditoría, los siguientes:</w:t>
      </w:r>
    </w:p>
    <w:p w14:paraId="27F4E1B5" w14:textId="77777777" w:rsidR="00A623C4" w:rsidRPr="00995A30" w:rsidRDefault="00A623C4" w:rsidP="00A623C4">
      <w:pPr>
        <w:spacing w:line="360" w:lineRule="auto"/>
        <w:ind w:right="141"/>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623C4" w:rsidRPr="00845B1A" w14:paraId="19F93AC6" w14:textId="77777777" w:rsidTr="00024164">
        <w:trPr>
          <w:tblHeader/>
          <w:jc w:val="center"/>
        </w:trPr>
        <w:tc>
          <w:tcPr>
            <w:tcW w:w="6374" w:type="dxa"/>
            <w:shd w:val="clear" w:color="auto" w:fill="D0CECE" w:themeFill="background2" w:themeFillShade="E6"/>
          </w:tcPr>
          <w:p w14:paraId="7883A9ED" w14:textId="77777777" w:rsidR="00A623C4" w:rsidRPr="00845B1A" w:rsidRDefault="00A623C4" w:rsidP="00024164">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6E1AECBF" w14:textId="77777777" w:rsidR="00A623C4" w:rsidRPr="00845B1A" w:rsidRDefault="00A623C4" w:rsidP="00024164">
            <w:pPr>
              <w:spacing w:line="360" w:lineRule="auto"/>
              <w:jc w:val="center"/>
              <w:rPr>
                <w:rFonts w:ascii="Arial" w:hAnsi="Arial" w:cs="Arial"/>
                <w:b/>
                <w:bCs/>
              </w:rPr>
            </w:pPr>
            <w:r w:rsidRPr="00845B1A">
              <w:rPr>
                <w:rFonts w:ascii="Arial" w:hAnsi="Arial" w:cs="Arial"/>
                <w:b/>
                <w:bCs/>
              </w:rPr>
              <w:t>Cargo</w:t>
            </w:r>
          </w:p>
        </w:tc>
      </w:tr>
      <w:tr w:rsidR="00A623C4" w:rsidRPr="00845B1A" w14:paraId="02C42EA2" w14:textId="77777777" w:rsidTr="00024164">
        <w:trPr>
          <w:jc w:val="center"/>
        </w:trPr>
        <w:tc>
          <w:tcPr>
            <w:tcW w:w="6374" w:type="dxa"/>
            <w:shd w:val="clear" w:color="auto" w:fill="auto"/>
          </w:tcPr>
          <w:p w14:paraId="09507A40" w14:textId="77777777" w:rsidR="00A623C4" w:rsidRPr="00845B1A" w:rsidRDefault="00A623C4" w:rsidP="00024164">
            <w:pPr>
              <w:spacing w:line="360" w:lineRule="auto"/>
              <w:rPr>
                <w:rFonts w:ascii="Arial" w:hAnsi="Arial" w:cs="Arial"/>
                <w:bCs/>
              </w:rPr>
            </w:pPr>
            <w:r>
              <w:rPr>
                <w:rFonts w:ascii="Arial" w:hAnsi="Arial" w:cs="Arial"/>
                <w:bCs/>
              </w:rPr>
              <w:t>M.E. Adelaida Hernández Marcial</w:t>
            </w:r>
          </w:p>
        </w:tc>
        <w:tc>
          <w:tcPr>
            <w:tcW w:w="2977" w:type="dxa"/>
            <w:shd w:val="clear" w:color="auto" w:fill="auto"/>
          </w:tcPr>
          <w:p w14:paraId="6F6EA531" w14:textId="77777777" w:rsidR="00A623C4" w:rsidRPr="00845B1A" w:rsidRDefault="00A623C4" w:rsidP="00024164">
            <w:pPr>
              <w:spacing w:line="360" w:lineRule="auto"/>
              <w:rPr>
                <w:rFonts w:ascii="Arial" w:hAnsi="Arial" w:cs="Arial"/>
                <w:bCs/>
              </w:rPr>
            </w:pPr>
            <w:r w:rsidRPr="00845B1A">
              <w:rPr>
                <w:rFonts w:ascii="Arial" w:hAnsi="Arial" w:cs="Arial"/>
                <w:bCs/>
              </w:rPr>
              <w:t>Coordinador</w:t>
            </w:r>
            <w:r>
              <w:rPr>
                <w:rFonts w:ascii="Arial" w:hAnsi="Arial" w:cs="Arial"/>
                <w:bCs/>
              </w:rPr>
              <w:t xml:space="preserve"> Encargado</w:t>
            </w:r>
          </w:p>
        </w:tc>
      </w:tr>
      <w:tr w:rsidR="00A623C4" w:rsidRPr="00845B1A" w14:paraId="5A36AA23" w14:textId="77777777" w:rsidTr="00024164">
        <w:trPr>
          <w:jc w:val="center"/>
        </w:trPr>
        <w:tc>
          <w:tcPr>
            <w:tcW w:w="6374" w:type="dxa"/>
            <w:shd w:val="clear" w:color="auto" w:fill="auto"/>
          </w:tcPr>
          <w:p w14:paraId="3B3DAAA2" w14:textId="76F553FF" w:rsidR="00A623C4" w:rsidRPr="00845B1A" w:rsidRDefault="007917B5" w:rsidP="007917B5">
            <w:pPr>
              <w:spacing w:line="360" w:lineRule="auto"/>
              <w:rPr>
                <w:rFonts w:ascii="Arial" w:hAnsi="Arial" w:cs="Arial"/>
                <w:bCs/>
              </w:rPr>
            </w:pPr>
            <w:r>
              <w:rPr>
                <w:rFonts w:ascii="Arial" w:hAnsi="Arial" w:cs="Arial"/>
              </w:rPr>
              <w:t>C.P.A</w:t>
            </w:r>
            <w:r w:rsidR="00733F26">
              <w:rPr>
                <w:rFonts w:ascii="Arial" w:hAnsi="Arial" w:cs="Arial"/>
              </w:rPr>
              <w:t xml:space="preserve">. </w:t>
            </w:r>
            <w:r>
              <w:rPr>
                <w:rFonts w:ascii="Arial" w:hAnsi="Arial" w:cs="Arial"/>
              </w:rPr>
              <w:t>Araceli Alanís Rodríguez</w:t>
            </w:r>
          </w:p>
        </w:tc>
        <w:tc>
          <w:tcPr>
            <w:tcW w:w="2977" w:type="dxa"/>
            <w:shd w:val="clear" w:color="auto" w:fill="auto"/>
          </w:tcPr>
          <w:p w14:paraId="47C7E205" w14:textId="345E8CFE" w:rsidR="00A623C4" w:rsidRPr="00845B1A" w:rsidRDefault="00A623C4" w:rsidP="007917B5">
            <w:pPr>
              <w:spacing w:line="360" w:lineRule="auto"/>
              <w:rPr>
                <w:rFonts w:ascii="Arial" w:hAnsi="Arial" w:cs="Arial"/>
                <w:bCs/>
              </w:rPr>
            </w:pPr>
            <w:r w:rsidRPr="00845B1A">
              <w:rPr>
                <w:rFonts w:ascii="Arial" w:hAnsi="Arial" w:cs="Arial"/>
                <w:bCs/>
              </w:rPr>
              <w:t>Supervisor</w:t>
            </w:r>
            <w:r>
              <w:rPr>
                <w:rFonts w:ascii="Arial" w:hAnsi="Arial" w:cs="Arial"/>
                <w:bCs/>
              </w:rPr>
              <w:t xml:space="preserve"> </w:t>
            </w:r>
          </w:p>
        </w:tc>
      </w:tr>
    </w:tbl>
    <w:p w14:paraId="7E29F620" w14:textId="04C3F05A" w:rsidR="00A623C4" w:rsidRDefault="00A623C4" w:rsidP="00A623C4">
      <w:pPr>
        <w:spacing w:line="360" w:lineRule="auto"/>
        <w:ind w:right="190"/>
        <w:jc w:val="both"/>
        <w:rPr>
          <w:rFonts w:ascii="Arial" w:hAnsi="Arial" w:cs="Arial"/>
          <w:b/>
          <w:sz w:val="20"/>
          <w:szCs w:val="20"/>
        </w:rPr>
      </w:pPr>
    </w:p>
    <w:p w14:paraId="6BE86963" w14:textId="77777777" w:rsidR="00995A30" w:rsidRPr="00EC4DEC" w:rsidRDefault="00995A30" w:rsidP="00A623C4">
      <w:pPr>
        <w:spacing w:line="360" w:lineRule="auto"/>
        <w:ind w:right="190"/>
        <w:jc w:val="both"/>
        <w:rPr>
          <w:rFonts w:ascii="Arial" w:hAnsi="Arial" w:cs="Arial"/>
          <w:b/>
          <w:sz w:val="20"/>
          <w:szCs w:val="20"/>
        </w:rPr>
      </w:pPr>
    </w:p>
    <w:p w14:paraId="26363448" w14:textId="0453232A" w:rsidR="00A623C4" w:rsidRPr="00845B1A" w:rsidRDefault="00DD5FFA" w:rsidP="00A623C4">
      <w:pPr>
        <w:spacing w:line="360" w:lineRule="auto"/>
        <w:ind w:right="190"/>
        <w:jc w:val="both"/>
        <w:rPr>
          <w:rFonts w:ascii="Arial" w:hAnsi="Arial" w:cs="Arial"/>
          <w:b/>
        </w:rPr>
      </w:pPr>
      <w:r>
        <w:rPr>
          <w:rFonts w:ascii="Arial" w:hAnsi="Arial" w:cs="Arial"/>
          <w:b/>
        </w:rPr>
        <w:lastRenderedPageBreak/>
        <w:t>I</w:t>
      </w:r>
      <w:r w:rsidR="00A623C4" w:rsidRPr="00845B1A">
        <w:rPr>
          <w:rFonts w:ascii="Arial" w:hAnsi="Arial" w:cs="Arial"/>
          <w:b/>
        </w:rPr>
        <w:t>I.2. CUMPLIMIENTO DE DISPOSICIONES LEGALES Y NORMATIVAS</w:t>
      </w:r>
    </w:p>
    <w:p w14:paraId="08807ABD" w14:textId="77777777" w:rsidR="00A623C4" w:rsidRPr="00EC4DEC" w:rsidRDefault="00A623C4" w:rsidP="00A623C4">
      <w:pPr>
        <w:spacing w:line="360" w:lineRule="auto"/>
        <w:ind w:right="48"/>
        <w:jc w:val="both"/>
        <w:rPr>
          <w:rFonts w:ascii="Arial" w:hAnsi="Arial" w:cs="Arial"/>
          <w:sz w:val="14"/>
          <w:szCs w:val="14"/>
        </w:rPr>
      </w:pPr>
    </w:p>
    <w:p w14:paraId="1AB86072" w14:textId="7C7C2686" w:rsidR="00A623C4" w:rsidRDefault="00DD5FFA" w:rsidP="00C142A1">
      <w:pPr>
        <w:spacing w:line="360" w:lineRule="auto"/>
        <w:ind w:right="141"/>
        <w:jc w:val="both"/>
        <w:rPr>
          <w:rFonts w:ascii="Arial" w:hAnsi="Arial" w:cs="Arial"/>
          <w:bCs/>
        </w:rPr>
      </w:pPr>
      <w:r w:rsidRPr="00DD5FFA">
        <w:rPr>
          <w:rFonts w:ascii="Arial" w:hAnsi="Arial" w:cs="Arial"/>
          <w:bCs/>
        </w:rPr>
        <w:t xml:space="preserve">La revisión se llevó a cabo aplicando Normas Profesionales de Auditoría del Sistema Nacional de Fiscalización, así como en apego a la Ley General de Contabilidad Gubernamental, Presupuesto de Egresos para el ejercicio fiscal </w:t>
      </w:r>
      <w:r>
        <w:rPr>
          <w:rFonts w:ascii="Arial" w:hAnsi="Arial" w:cs="Arial"/>
          <w:bCs/>
        </w:rPr>
        <w:t>2020</w:t>
      </w:r>
      <w:r w:rsidRPr="00DD5FFA">
        <w:rPr>
          <w:rFonts w:ascii="Arial" w:hAnsi="Arial" w:cs="Arial"/>
          <w:bCs/>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C2B34BC" w14:textId="77777777" w:rsidR="00DD5FFA" w:rsidRPr="008436E9" w:rsidRDefault="00DD5FFA" w:rsidP="00A623C4">
      <w:pPr>
        <w:spacing w:line="360" w:lineRule="auto"/>
        <w:ind w:right="48"/>
        <w:jc w:val="both"/>
        <w:rPr>
          <w:rFonts w:ascii="Arial" w:hAnsi="Arial" w:cs="Arial"/>
          <w:sz w:val="20"/>
          <w:szCs w:val="20"/>
        </w:rPr>
      </w:pPr>
    </w:p>
    <w:p w14:paraId="2E58A7B1" w14:textId="77777777" w:rsidR="00A623C4" w:rsidRDefault="00A623C4" w:rsidP="00A623C4">
      <w:pPr>
        <w:spacing w:line="360" w:lineRule="auto"/>
        <w:ind w:right="190"/>
        <w:jc w:val="both"/>
        <w:rPr>
          <w:rFonts w:ascii="Arial" w:hAnsi="Arial" w:cs="Arial"/>
          <w:b/>
        </w:rPr>
      </w:pPr>
      <w:r w:rsidRPr="00845B1A">
        <w:rPr>
          <w:rFonts w:ascii="Arial" w:hAnsi="Arial" w:cs="Arial"/>
          <w:b/>
        </w:rPr>
        <w:t>A. Conclusiones</w:t>
      </w:r>
    </w:p>
    <w:p w14:paraId="1A260692" w14:textId="77777777" w:rsidR="00A623C4" w:rsidRPr="00EC4DEC" w:rsidRDefault="00A623C4" w:rsidP="00A623C4">
      <w:pPr>
        <w:spacing w:line="360" w:lineRule="auto"/>
        <w:ind w:right="190"/>
        <w:jc w:val="both"/>
        <w:rPr>
          <w:rFonts w:ascii="Arial" w:hAnsi="Arial" w:cs="Arial"/>
          <w:b/>
          <w:sz w:val="14"/>
          <w:szCs w:val="14"/>
        </w:rPr>
      </w:pPr>
    </w:p>
    <w:p w14:paraId="3FD6DDA4" w14:textId="7662A703" w:rsidR="00A623C4" w:rsidRDefault="00DD5FFA" w:rsidP="00C142A1">
      <w:pPr>
        <w:spacing w:line="360" w:lineRule="auto"/>
        <w:ind w:right="141"/>
        <w:jc w:val="both"/>
        <w:rPr>
          <w:rFonts w:ascii="Arial" w:hAnsi="Arial" w:cs="Arial"/>
          <w:bCs/>
          <w:iCs/>
          <w:shd w:val="clear" w:color="auto" w:fill="FFFFFF" w:themeFill="background1"/>
        </w:rPr>
      </w:pPr>
      <w:r w:rsidRPr="00DD5FFA">
        <w:rPr>
          <w:rFonts w:ascii="Arial" w:hAnsi="Arial" w:cs="Arial"/>
          <w:bCs/>
          <w:iCs/>
          <w:shd w:val="clear" w:color="auto" w:fill="FFFFFF" w:themeFill="background1"/>
        </w:rPr>
        <w:t xml:space="preserve">Se constató el cumplimiento de la Ley General de Contabilidad Gubernamental, Presupuesto de Egresos para el ejercicio fiscal </w:t>
      </w:r>
      <w:r>
        <w:rPr>
          <w:rFonts w:ascii="Arial" w:hAnsi="Arial" w:cs="Arial"/>
          <w:bCs/>
          <w:iCs/>
          <w:shd w:val="clear" w:color="auto" w:fill="FFFFFF" w:themeFill="background1"/>
        </w:rPr>
        <w:t>2020</w:t>
      </w:r>
      <w:r w:rsidRPr="00DD5FFA">
        <w:rPr>
          <w:rFonts w:ascii="Arial" w:hAnsi="Arial" w:cs="Arial"/>
          <w:bCs/>
          <w:iCs/>
          <w:shd w:val="clear" w:color="auto" w:fill="FFFFFF" w:themeFill="background1"/>
        </w:rPr>
        <w:t xml:space="preserve">, así como de lo emitido por el Consejo Nacional de Armonización Contable (CONAC), </w:t>
      </w:r>
      <w:r w:rsidRPr="00EC4DEC">
        <w:rPr>
          <w:rFonts w:ascii="Arial" w:hAnsi="Arial" w:cs="Arial"/>
          <w:bCs/>
          <w:iCs/>
          <w:shd w:val="clear" w:color="auto" w:fill="FFFFFF" w:themeFill="background1"/>
        </w:rPr>
        <w:t>y demás disposiciones legales y normativas aplicables</w:t>
      </w:r>
      <w:r w:rsidR="0036763A">
        <w:rPr>
          <w:rFonts w:ascii="Arial" w:hAnsi="Arial" w:cs="Arial"/>
          <w:bCs/>
          <w:iCs/>
          <w:shd w:val="clear" w:color="auto" w:fill="FFFFFF" w:themeFill="background1"/>
        </w:rPr>
        <w:t>.</w:t>
      </w:r>
    </w:p>
    <w:p w14:paraId="3101A4CF" w14:textId="77777777" w:rsidR="00A623C4" w:rsidRPr="00EC4DEC" w:rsidRDefault="00A623C4" w:rsidP="00A623C4">
      <w:pPr>
        <w:spacing w:line="360" w:lineRule="auto"/>
        <w:ind w:right="190"/>
        <w:jc w:val="both"/>
        <w:rPr>
          <w:rFonts w:ascii="Arial" w:hAnsi="Arial" w:cs="Arial"/>
          <w:bCs/>
          <w:sz w:val="20"/>
          <w:szCs w:val="20"/>
        </w:rPr>
      </w:pPr>
    </w:p>
    <w:p w14:paraId="271C76F0" w14:textId="445273E9" w:rsidR="00A623C4" w:rsidRPr="00A05588" w:rsidRDefault="00DD5FFA" w:rsidP="00A623C4">
      <w:pPr>
        <w:spacing w:line="360" w:lineRule="auto"/>
        <w:ind w:right="190"/>
        <w:jc w:val="both"/>
        <w:rPr>
          <w:rFonts w:ascii="Arial" w:hAnsi="Arial" w:cs="Arial"/>
          <w:b/>
        </w:rPr>
      </w:pPr>
      <w:r>
        <w:rPr>
          <w:rFonts w:ascii="Arial" w:hAnsi="Arial" w:cs="Arial"/>
          <w:b/>
        </w:rPr>
        <w:t>I</w:t>
      </w:r>
      <w:r w:rsidR="00A623C4">
        <w:rPr>
          <w:rFonts w:ascii="Arial" w:hAnsi="Arial" w:cs="Arial"/>
          <w:b/>
        </w:rPr>
        <w:t>I.3</w:t>
      </w:r>
      <w:r w:rsidR="00A623C4" w:rsidRPr="00A05588">
        <w:rPr>
          <w:rFonts w:ascii="Arial" w:hAnsi="Arial" w:cs="Arial"/>
          <w:b/>
        </w:rPr>
        <w:t>. RESULTADOS DE LA FISCALIZACIÓN EFECTUADA</w:t>
      </w:r>
    </w:p>
    <w:p w14:paraId="0A0B9195" w14:textId="77777777" w:rsidR="00A623C4" w:rsidRPr="00EC4DEC" w:rsidRDefault="00A623C4" w:rsidP="00A623C4">
      <w:pPr>
        <w:spacing w:line="360" w:lineRule="auto"/>
        <w:jc w:val="both"/>
        <w:rPr>
          <w:rFonts w:ascii="Arial" w:hAnsi="Arial" w:cs="Arial"/>
          <w:sz w:val="14"/>
          <w:szCs w:val="14"/>
        </w:rPr>
      </w:pPr>
    </w:p>
    <w:p w14:paraId="78DCC409" w14:textId="30673C0A" w:rsidR="00A623C4" w:rsidRPr="005604F7" w:rsidRDefault="00A623C4" w:rsidP="00A623C4">
      <w:pPr>
        <w:tabs>
          <w:tab w:val="left" w:pos="2160"/>
        </w:tabs>
        <w:spacing w:line="360" w:lineRule="auto"/>
        <w:ind w:right="141"/>
        <w:jc w:val="both"/>
      </w:pPr>
      <w:r w:rsidRPr="000B7BD4">
        <w:rPr>
          <w:rFonts w:ascii="Arial" w:hAnsi="Arial" w:cs="Arial"/>
        </w:rPr>
        <w:t xml:space="preserve">De conformidad con </w:t>
      </w:r>
      <w:r w:rsidRPr="00406F79">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w:t>
      </w:r>
      <w:r w:rsidRPr="00E9735F">
        <w:rPr>
          <w:rFonts w:ascii="Arial" w:hAnsi="Arial" w:cs="Arial"/>
        </w:rPr>
        <w:t xml:space="preserve">se presentaron </w:t>
      </w:r>
      <w:r w:rsidR="00E9735F" w:rsidRPr="00E9735F">
        <w:rPr>
          <w:rFonts w:ascii="Arial" w:hAnsi="Arial" w:cs="Arial"/>
          <w:b/>
        </w:rPr>
        <w:t>10</w:t>
      </w:r>
      <w:r w:rsidRPr="00E9735F">
        <w:rPr>
          <w:rFonts w:ascii="Arial" w:hAnsi="Arial" w:cs="Arial"/>
        </w:rPr>
        <w:t xml:space="preserve"> resultados finales de auditoría y se determinaron </w:t>
      </w:r>
      <w:r w:rsidR="00E9735F" w:rsidRPr="00E9735F">
        <w:rPr>
          <w:rFonts w:ascii="Arial" w:hAnsi="Arial" w:cs="Arial"/>
          <w:b/>
        </w:rPr>
        <w:t>11</w:t>
      </w:r>
      <w:r w:rsidRPr="00E9735F">
        <w:rPr>
          <w:rFonts w:ascii="Arial" w:hAnsi="Arial" w:cs="Arial"/>
        </w:rPr>
        <w:t xml:space="preserve"> observaciones, </w:t>
      </w:r>
      <w:r w:rsidRPr="00E10C41">
        <w:rPr>
          <w:rFonts w:ascii="Arial" w:hAnsi="Arial" w:cs="Arial"/>
        </w:rPr>
        <w:t xml:space="preserve">de las cuales </w:t>
      </w:r>
      <w:r w:rsidR="0036763A">
        <w:rPr>
          <w:rFonts w:ascii="Arial" w:hAnsi="Arial" w:cs="Arial"/>
          <w:b/>
        </w:rPr>
        <w:t>10</w:t>
      </w:r>
      <w:r w:rsidRPr="00E10C41">
        <w:rPr>
          <w:rFonts w:ascii="Arial" w:hAnsi="Arial" w:cs="Arial"/>
        </w:rPr>
        <w:t xml:space="preserve"> fueron solventadas; </w:t>
      </w:r>
      <w:r w:rsidR="00421316">
        <w:rPr>
          <w:rFonts w:ascii="Arial" w:hAnsi="Arial" w:cs="Arial"/>
        </w:rPr>
        <w:t xml:space="preserve">asimismo, </w:t>
      </w:r>
      <w:r w:rsidR="00E10C41" w:rsidRPr="00E10C41">
        <w:rPr>
          <w:rFonts w:ascii="Arial" w:hAnsi="Arial" w:cs="Arial"/>
          <w:bCs/>
        </w:rPr>
        <w:t xml:space="preserve">como medida de fortalecimiento al control interno de la entidad </w:t>
      </w:r>
      <w:r w:rsidRPr="00E10C41">
        <w:rPr>
          <w:rFonts w:ascii="Arial" w:hAnsi="Arial" w:cs="Arial"/>
        </w:rPr>
        <w:t xml:space="preserve">se emitieron </w:t>
      </w:r>
      <w:r w:rsidR="00421316">
        <w:rPr>
          <w:rFonts w:ascii="Arial" w:hAnsi="Arial" w:cs="Arial"/>
          <w:b/>
        </w:rPr>
        <w:t>8</w:t>
      </w:r>
      <w:r w:rsidRPr="00E10C41">
        <w:rPr>
          <w:rFonts w:ascii="Arial" w:hAnsi="Arial" w:cs="Arial"/>
        </w:rPr>
        <w:t xml:space="preserve"> Recomendaciones</w:t>
      </w:r>
      <w:r w:rsidR="00E10C41" w:rsidRPr="00E10C41">
        <w:rPr>
          <w:rFonts w:ascii="Arial" w:hAnsi="Arial" w:cs="Arial"/>
        </w:rPr>
        <w:t>.</w:t>
      </w:r>
    </w:p>
    <w:p w14:paraId="48599557" w14:textId="77777777" w:rsidR="00A623C4" w:rsidRDefault="00A623C4" w:rsidP="00A623C4">
      <w:pPr>
        <w:spacing w:line="360" w:lineRule="auto"/>
        <w:ind w:right="141"/>
        <w:jc w:val="both"/>
        <w:rPr>
          <w:rFonts w:ascii="Arial" w:hAnsi="Arial" w:cs="Arial"/>
        </w:rPr>
      </w:pPr>
    </w:p>
    <w:p w14:paraId="2FC2FF0D" w14:textId="77777777" w:rsidR="00A623C4" w:rsidRDefault="00A623C4" w:rsidP="00A623C4">
      <w:pPr>
        <w:spacing w:line="360" w:lineRule="auto"/>
        <w:ind w:right="141"/>
        <w:jc w:val="both"/>
        <w:rPr>
          <w:rFonts w:ascii="Arial" w:hAnsi="Arial" w:cs="Arial"/>
          <w:b/>
        </w:rPr>
      </w:pPr>
      <w:r w:rsidRPr="00147304">
        <w:rPr>
          <w:rFonts w:ascii="Arial" w:hAnsi="Arial" w:cs="Arial"/>
          <w:b/>
        </w:rPr>
        <w:lastRenderedPageBreak/>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66BF6465" w14:textId="77777777" w:rsidR="00A623C4" w:rsidRPr="008436E9" w:rsidRDefault="00A623C4" w:rsidP="00A623C4">
      <w:pPr>
        <w:spacing w:line="360" w:lineRule="auto"/>
        <w:ind w:right="141"/>
        <w:jc w:val="both"/>
        <w:rPr>
          <w:rFonts w:ascii="Arial" w:hAnsi="Arial" w:cs="Arial"/>
          <w:b/>
        </w:rPr>
      </w:pPr>
    </w:p>
    <w:p w14:paraId="577B6C41" w14:textId="77777777" w:rsidR="00A623C4" w:rsidRDefault="00A623C4" w:rsidP="00A623C4">
      <w:pPr>
        <w:spacing w:line="360" w:lineRule="auto"/>
        <w:ind w:right="141"/>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34F4D33B" w14:textId="1BBA7BE6" w:rsidR="00A623C4" w:rsidRDefault="00A623C4" w:rsidP="00A623C4">
      <w:pPr>
        <w:spacing w:line="360" w:lineRule="auto"/>
        <w:jc w:val="both"/>
        <w:rPr>
          <w:rFonts w:ascii="Arial" w:hAnsi="Arial" w:cs="Arial"/>
          <w:b/>
          <w:bCs/>
        </w:rPr>
      </w:pPr>
    </w:p>
    <w:tbl>
      <w:tblPr>
        <w:tblStyle w:val="Tablaconcuadrcula2"/>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6"/>
        <w:gridCol w:w="2834"/>
        <w:gridCol w:w="3118"/>
        <w:gridCol w:w="1940"/>
      </w:tblGrid>
      <w:tr w:rsidR="00BE3D4F" w:rsidRPr="0091431F" w14:paraId="749A9263" w14:textId="3A856451" w:rsidTr="00E9544F">
        <w:trPr>
          <w:tblHeader/>
          <w:jc w:val="center"/>
        </w:trPr>
        <w:tc>
          <w:tcPr>
            <w:tcW w:w="1556" w:type="dxa"/>
            <w:shd w:val="clear" w:color="auto" w:fill="D9D9D9" w:themeFill="background1" w:themeFillShade="D9"/>
            <w:vAlign w:val="center"/>
          </w:tcPr>
          <w:p w14:paraId="3CEA91E2" w14:textId="77777777" w:rsidR="00BE3D4F" w:rsidRPr="0091431F" w:rsidRDefault="00BE3D4F" w:rsidP="00BE3D4F">
            <w:pPr>
              <w:spacing w:line="360" w:lineRule="auto"/>
              <w:rPr>
                <w:rFonts w:ascii="Arial" w:hAnsi="Arial" w:cs="Arial"/>
                <w:b/>
                <w:sz w:val="18"/>
                <w:szCs w:val="18"/>
              </w:rPr>
            </w:pPr>
            <w:r w:rsidRPr="0091431F">
              <w:rPr>
                <w:rFonts w:ascii="Arial" w:hAnsi="Arial" w:cs="Arial"/>
                <w:b/>
                <w:sz w:val="18"/>
                <w:szCs w:val="18"/>
              </w:rPr>
              <w:t>Referencia</w:t>
            </w:r>
          </w:p>
        </w:tc>
        <w:tc>
          <w:tcPr>
            <w:tcW w:w="2834" w:type="dxa"/>
            <w:shd w:val="clear" w:color="auto" w:fill="D9D9D9" w:themeFill="background1" w:themeFillShade="D9"/>
            <w:vAlign w:val="center"/>
          </w:tcPr>
          <w:p w14:paraId="0DEB5E93" w14:textId="77777777" w:rsidR="00BE3D4F" w:rsidRPr="0091431F" w:rsidRDefault="00BE3D4F" w:rsidP="00BE3D4F">
            <w:pPr>
              <w:spacing w:line="360" w:lineRule="auto"/>
              <w:rPr>
                <w:rFonts w:ascii="Arial" w:hAnsi="Arial" w:cs="Arial"/>
                <w:b/>
                <w:sz w:val="18"/>
                <w:szCs w:val="18"/>
              </w:rPr>
            </w:pPr>
            <w:r w:rsidRPr="0091431F">
              <w:rPr>
                <w:rFonts w:ascii="Arial" w:hAnsi="Arial" w:cs="Arial"/>
                <w:b/>
                <w:sz w:val="18"/>
                <w:szCs w:val="18"/>
              </w:rPr>
              <w:t>Concepto del Resultado</w:t>
            </w:r>
          </w:p>
        </w:tc>
        <w:tc>
          <w:tcPr>
            <w:tcW w:w="3118" w:type="dxa"/>
            <w:shd w:val="clear" w:color="auto" w:fill="D9D9D9" w:themeFill="background1" w:themeFillShade="D9"/>
            <w:vAlign w:val="center"/>
          </w:tcPr>
          <w:p w14:paraId="1997EE38" w14:textId="77777777" w:rsidR="00BE3D4F" w:rsidRPr="0091431F" w:rsidRDefault="00BE3D4F" w:rsidP="00BE3D4F">
            <w:pPr>
              <w:spacing w:line="360" w:lineRule="auto"/>
              <w:rPr>
                <w:rFonts w:ascii="Arial" w:hAnsi="Arial" w:cs="Arial"/>
                <w:b/>
                <w:sz w:val="18"/>
                <w:szCs w:val="18"/>
              </w:rPr>
            </w:pPr>
            <w:r w:rsidRPr="0091431F">
              <w:rPr>
                <w:rFonts w:ascii="Arial" w:hAnsi="Arial" w:cs="Arial"/>
                <w:b/>
                <w:sz w:val="18"/>
                <w:szCs w:val="18"/>
              </w:rPr>
              <w:t>Tipo de Observación</w:t>
            </w:r>
          </w:p>
        </w:tc>
        <w:tc>
          <w:tcPr>
            <w:tcW w:w="1940" w:type="dxa"/>
            <w:shd w:val="clear" w:color="auto" w:fill="D9D9D9" w:themeFill="background1" w:themeFillShade="D9"/>
          </w:tcPr>
          <w:p w14:paraId="07116EF9" w14:textId="77777777" w:rsidR="00BE3D4F" w:rsidRPr="00975557" w:rsidRDefault="00BE3D4F" w:rsidP="00BE3D4F">
            <w:pPr>
              <w:spacing w:line="360" w:lineRule="auto"/>
              <w:rPr>
                <w:rFonts w:ascii="Arial" w:hAnsi="Arial" w:cs="Arial"/>
                <w:b/>
                <w:bCs/>
                <w:sz w:val="18"/>
                <w:szCs w:val="18"/>
              </w:rPr>
            </w:pPr>
            <w:r w:rsidRPr="00975557">
              <w:rPr>
                <w:rFonts w:ascii="Arial" w:hAnsi="Arial" w:cs="Arial"/>
                <w:b/>
                <w:bCs/>
                <w:sz w:val="18"/>
                <w:szCs w:val="18"/>
              </w:rPr>
              <w:t>Monto Observado/</w:t>
            </w:r>
          </w:p>
          <w:p w14:paraId="2A6656E3" w14:textId="42DAF344" w:rsidR="00BE3D4F" w:rsidRPr="00975557" w:rsidRDefault="00BE3D4F" w:rsidP="00BE3D4F">
            <w:pPr>
              <w:spacing w:line="360" w:lineRule="auto"/>
              <w:rPr>
                <w:rFonts w:ascii="Arial" w:hAnsi="Arial" w:cs="Arial"/>
                <w:b/>
                <w:sz w:val="18"/>
                <w:szCs w:val="18"/>
              </w:rPr>
            </w:pPr>
            <w:r w:rsidRPr="00975557">
              <w:rPr>
                <w:rFonts w:ascii="Arial" w:hAnsi="Arial" w:cs="Arial"/>
                <w:b/>
                <w:bCs/>
                <w:sz w:val="18"/>
                <w:szCs w:val="18"/>
              </w:rPr>
              <w:t>Acciones y Recomendaciones Emitidas</w:t>
            </w:r>
          </w:p>
        </w:tc>
      </w:tr>
      <w:tr w:rsidR="00BE3D4F" w:rsidRPr="0091431F" w14:paraId="4AFDB9EA" w14:textId="332005AD" w:rsidTr="00E9544F">
        <w:trPr>
          <w:jc w:val="center"/>
        </w:trPr>
        <w:tc>
          <w:tcPr>
            <w:tcW w:w="1556" w:type="dxa"/>
          </w:tcPr>
          <w:p w14:paraId="68EEDB12" w14:textId="77777777" w:rsidR="00BE3D4F" w:rsidRPr="0091431F" w:rsidRDefault="00BE3D4F" w:rsidP="00BE3D4F">
            <w:pPr>
              <w:spacing w:line="360" w:lineRule="auto"/>
              <w:jc w:val="left"/>
              <w:rPr>
                <w:rFonts w:ascii="Arial" w:hAnsi="Arial" w:cs="Arial"/>
                <w:sz w:val="18"/>
                <w:szCs w:val="18"/>
              </w:rPr>
            </w:pPr>
            <w:r w:rsidRPr="0091431F">
              <w:rPr>
                <w:rFonts w:ascii="Arial" w:hAnsi="Arial" w:cs="Arial"/>
                <w:sz w:val="18"/>
                <w:szCs w:val="18"/>
              </w:rPr>
              <w:t>Resultado: 1</w:t>
            </w:r>
          </w:p>
          <w:p w14:paraId="2E572C2A" w14:textId="77777777" w:rsidR="00BE3D4F" w:rsidRPr="0091431F" w:rsidRDefault="00BE3D4F" w:rsidP="00BE3D4F">
            <w:pPr>
              <w:spacing w:line="360" w:lineRule="auto"/>
              <w:jc w:val="both"/>
              <w:rPr>
                <w:rFonts w:ascii="Arial" w:hAnsi="Arial" w:cs="Arial"/>
                <w:sz w:val="18"/>
                <w:szCs w:val="18"/>
              </w:rPr>
            </w:pPr>
            <w:r w:rsidRPr="0091431F">
              <w:rPr>
                <w:rFonts w:ascii="Arial" w:hAnsi="Arial" w:cs="Arial"/>
                <w:sz w:val="18"/>
                <w:szCs w:val="18"/>
              </w:rPr>
              <w:t>Observación: 1</w:t>
            </w:r>
          </w:p>
        </w:tc>
        <w:tc>
          <w:tcPr>
            <w:tcW w:w="2834" w:type="dxa"/>
          </w:tcPr>
          <w:p w14:paraId="61460CF0" w14:textId="77777777" w:rsidR="00BE3D4F" w:rsidRPr="0091431F" w:rsidRDefault="00BE3D4F" w:rsidP="00BE3D4F">
            <w:pPr>
              <w:spacing w:line="360" w:lineRule="auto"/>
              <w:jc w:val="both"/>
              <w:rPr>
                <w:rFonts w:ascii="Arial" w:hAnsi="Arial" w:cs="Arial"/>
                <w:sz w:val="18"/>
                <w:szCs w:val="18"/>
                <w:lang w:eastAsia="es-MX"/>
              </w:rPr>
            </w:pPr>
            <w:r w:rsidRPr="0091431F">
              <w:rPr>
                <w:rFonts w:ascii="Arial" w:hAnsi="Arial" w:cs="Arial"/>
                <w:sz w:val="18"/>
                <w:szCs w:val="18"/>
              </w:rPr>
              <w:t>Documentación incompleta por arrendamiento de edificio</w:t>
            </w:r>
          </w:p>
        </w:tc>
        <w:tc>
          <w:tcPr>
            <w:tcW w:w="3118" w:type="dxa"/>
          </w:tcPr>
          <w:p w14:paraId="576B508B" w14:textId="77777777" w:rsidR="00BE3D4F" w:rsidRPr="0091431F" w:rsidRDefault="00BE3D4F" w:rsidP="00BE3D4F">
            <w:pPr>
              <w:spacing w:line="360" w:lineRule="auto"/>
              <w:jc w:val="both"/>
              <w:rPr>
                <w:rFonts w:ascii="Arial" w:hAnsi="Arial" w:cs="Arial"/>
                <w:b/>
                <w:sz w:val="18"/>
                <w:szCs w:val="18"/>
              </w:rPr>
            </w:pPr>
            <w:r w:rsidRPr="0091431F">
              <w:rPr>
                <w:rFonts w:ascii="Arial" w:hAnsi="Arial" w:cs="Arial"/>
                <w:sz w:val="18"/>
                <w:szCs w:val="18"/>
                <w:lang w:eastAsia="es-MX"/>
              </w:rPr>
              <w:t>(1B) Falta de documentación comprobatoria de las erogaciones o que no reúne requisitos fiscales</w:t>
            </w:r>
          </w:p>
        </w:tc>
        <w:tc>
          <w:tcPr>
            <w:tcW w:w="1940" w:type="dxa"/>
          </w:tcPr>
          <w:p w14:paraId="5C2CF4DE" w14:textId="5463F478" w:rsidR="00FB4107" w:rsidRDefault="00E10C41" w:rsidP="00FB4107">
            <w:pPr>
              <w:spacing w:line="360" w:lineRule="auto"/>
              <w:jc w:val="right"/>
              <w:rPr>
                <w:rFonts w:ascii="Arial" w:hAnsi="Arial" w:cs="Arial"/>
                <w:sz w:val="18"/>
                <w:szCs w:val="18"/>
                <w:lang w:eastAsia="es-MX"/>
              </w:rPr>
            </w:pPr>
            <w:r>
              <w:rPr>
                <w:rFonts w:ascii="Arial" w:hAnsi="Arial" w:cs="Arial"/>
                <w:sz w:val="18"/>
                <w:szCs w:val="18"/>
                <w:lang w:eastAsia="es-MX"/>
              </w:rPr>
              <w:t>Solventado</w:t>
            </w:r>
          </w:p>
          <w:p w14:paraId="6E869510" w14:textId="001FB9F1" w:rsidR="00BE3D4F" w:rsidRPr="0091431F" w:rsidRDefault="00FB4107" w:rsidP="00FB4107">
            <w:pPr>
              <w:spacing w:line="360" w:lineRule="auto"/>
              <w:jc w:val="right"/>
              <w:rPr>
                <w:rFonts w:ascii="Arial" w:hAnsi="Arial" w:cs="Arial"/>
                <w:sz w:val="18"/>
                <w:szCs w:val="18"/>
                <w:lang w:eastAsia="es-MX"/>
              </w:rPr>
            </w:pPr>
            <w:r>
              <w:rPr>
                <w:rFonts w:ascii="Arial" w:hAnsi="Arial" w:cs="Arial"/>
                <w:sz w:val="18"/>
                <w:szCs w:val="18"/>
                <w:lang w:eastAsia="es-MX"/>
              </w:rPr>
              <w:t>$111,650.00</w:t>
            </w:r>
          </w:p>
        </w:tc>
      </w:tr>
      <w:tr w:rsidR="00BE3D4F" w:rsidRPr="0091431F" w14:paraId="2A615F71" w14:textId="3C117123" w:rsidTr="00E9544F">
        <w:trPr>
          <w:jc w:val="center"/>
        </w:trPr>
        <w:tc>
          <w:tcPr>
            <w:tcW w:w="1556" w:type="dxa"/>
          </w:tcPr>
          <w:p w14:paraId="02D2228C" w14:textId="77777777" w:rsidR="00BE3D4F" w:rsidRPr="0091431F" w:rsidRDefault="00BE3D4F" w:rsidP="00BE3D4F">
            <w:pPr>
              <w:spacing w:line="360" w:lineRule="auto"/>
              <w:jc w:val="left"/>
              <w:rPr>
                <w:rFonts w:ascii="Arial" w:hAnsi="Arial" w:cs="Arial"/>
                <w:sz w:val="18"/>
                <w:szCs w:val="18"/>
              </w:rPr>
            </w:pPr>
            <w:r w:rsidRPr="0091431F">
              <w:rPr>
                <w:rFonts w:ascii="Arial" w:hAnsi="Arial" w:cs="Arial"/>
                <w:sz w:val="18"/>
                <w:szCs w:val="18"/>
              </w:rPr>
              <w:t>Resultado: 1</w:t>
            </w:r>
          </w:p>
          <w:p w14:paraId="528414D9" w14:textId="77777777" w:rsidR="00BE3D4F" w:rsidRPr="0091431F" w:rsidRDefault="00BE3D4F" w:rsidP="00BE3D4F">
            <w:pPr>
              <w:spacing w:line="360" w:lineRule="auto"/>
              <w:jc w:val="both"/>
              <w:rPr>
                <w:rFonts w:ascii="Arial" w:hAnsi="Arial" w:cs="Arial"/>
                <w:sz w:val="18"/>
                <w:szCs w:val="18"/>
              </w:rPr>
            </w:pPr>
            <w:r w:rsidRPr="0091431F">
              <w:rPr>
                <w:rFonts w:ascii="Arial" w:hAnsi="Arial" w:cs="Arial"/>
                <w:sz w:val="18"/>
                <w:szCs w:val="18"/>
              </w:rPr>
              <w:t>Observación: 2</w:t>
            </w:r>
          </w:p>
        </w:tc>
        <w:tc>
          <w:tcPr>
            <w:tcW w:w="2834" w:type="dxa"/>
          </w:tcPr>
          <w:p w14:paraId="3020A752" w14:textId="77777777" w:rsidR="00BE3D4F" w:rsidRPr="0091431F" w:rsidRDefault="00BE3D4F" w:rsidP="00BE3D4F">
            <w:pPr>
              <w:spacing w:line="360" w:lineRule="auto"/>
              <w:jc w:val="both"/>
              <w:rPr>
                <w:rFonts w:ascii="Arial" w:hAnsi="Arial" w:cs="Arial"/>
                <w:sz w:val="18"/>
                <w:szCs w:val="18"/>
              </w:rPr>
            </w:pPr>
            <w:r w:rsidRPr="0091431F">
              <w:rPr>
                <w:rFonts w:ascii="Arial" w:hAnsi="Arial" w:cs="Arial"/>
                <w:sz w:val="18"/>
                <w:szCs w:val="18"/>
              </w:rPr>
              <w:t>Documentación incompleta por arrendamiento de edificio</w:t>
            </w:r>
          </w:p>
        </w:tc>
        <w:tc>
          <w:tcPr>
            <w:tcW w:w="3118" w:type="dxa"/>
          </w:tcPr>
          <w:p w14:paraId="6FBFC123" w14:textId="77777777" w:rsidR="00BE3D4F" w:rsidRPr="0091431F" w:rsidRDefault="00BE3D4F" w:rsidP="00BE3D4F">
            <w:pPr>
              <w:spacing w:line="360" w:lineRule="auto"/>
              <w:jc w:val="both"/>
              <w:rPr>
                <w:rFonts w:ascii="Arial" w:hAnsi="Arial" w:cs="Arial"/>
                <w:b/>
                <w:sz w:val="18"/>
                <w:szCs w:val="18"/>
              </w:rPr>
            </w:pPr>
            <w:r w:rsidRPr="0091431F">
              <w:rPr>
                <w:rFonts w:ascii="Arial" w:hAnsi="Arial" w:cs="Arial"/>
                <w:bCs/>
                <w:sz w:val="18"/>
                <w:szCs w:val="18"/>
              </w:rPr>
              <w:t>(1C)</w:t>
            </w:r>
            <w:r w:rsidRPr="0091431F">
              <w:rPr>
                <w:rFonts w:ascii="Arial" w:hAnsi="Arial" w:cs="Arial"/>
                <w:b/>
                <w:bCs/>
                <w:sz w:val="18"/>
                <w:szCs w:val="18"/>
              </w:rPr>
              <w:t xml:space="preserve"> </w:t>
            </w:r>
            <w:r w:rsidRPr="0091431F">
              <w:rPr>
                <w:rFonts w:ascii="Arial" w:hAnsi="Arial" w:cs="Arial"/>
                <w:sz w:val="18"/>
                <w:szCs w:val="18"/>
              </w:rPr>
              <w:t>Falta de autorización o justificación de las erogaciones</w:t>
            </w:r>
          </w:p>
        </w:tc>
        <w:tc>
          <w:tcPr>
            <w:tcW w:w="1940" w:type="dxa"/>
          </w:tcPr>
          <w:p w14:paraId="0F734458" w14:textId="691EEEB6" w:rsidR="00FB4107" w:rsidRDefault="00E10C41" w:rsidP="00FB4107">
            <w:pPr>
              <w:spacing w:line="360" w:lineRule="auto"/>
              <w:jc w:val="right"/>
              <w:rPr>
                <w:rFonts w:ascii="Arial" w:hAnsi="Arial" w:cs="Arial"/>
                <w:bCs/>
                <w:sz w:val="18"/>
                <w:szCs w:val="18"/>
              </w:rPr>
            </w:pPr>
            <w:r>
              <w:rPr>
                <w:rFonts w:ascii="Arial" w:hAnsi="Arial" w:cs="Arial"/>
                <w:sz w:val="18"/>
                <w:szCs w:val="18"/>
                <w:lang w:eastAsia="es-MX"/>
              </w:rPr>
              <w:t>Solventado</w:t>
            </w:r>
          </w:p>
          <w:p w14:paraId="042E1BF8" w14:textId="6A45B666" w:rsidR="00BE3D4F" w:rsidRPr="0091431F" w:rsidRDefault="00FB4107" w:rsidP="00FB4107">
            <w:pPr>
              <w:spacing w:line="360" w:lineRule="auto"/>
              <w:jc w:val="right"/>
              <w:rPr>
                <w:rFonts w:ascii="Arial" w:hAnsi="Arial" w:cs="Arial"/>
                <w:bCs/>
                <w:sz w:val="18"/>
                <w:szCs w:val="18"/>
              </w:rPr>
            </w:pPr>
            <w:r>
              <w:rPr>
                <w:rFonts w:ascii="Arial" w:hAnsi="Arial" w:cs="Arial"/>
                <w:bCs/>
                <w:sz w:val="18"/>
                <w:szCs w:val="18"/>
              </w:rPr>
              <w:t>236,963.88</w:t>
            </w:r>
          </w:p>
        </w:tc>
      </w:tr>
      <w:tr w:rsidR="00BE3D4F" w:rsidRPr="0091431F" w14:paraId="724D6CD5" w14:textId="77F39ACF" w:rsidTr="00E9544F">
        <w:trPr>
          <w:jc w:val="center"/>
        </w:trPr>
        <w:tc>
          <w:tcPr>
            <w:tcW w:w="1556" w:type="dxa"/>
          </w:tcPr>
          <w:p w14:paraId="7497321D" w14:textId="77777777" w:rsidR="00BE3D4F" w:rsidRPr="0091431F" w:rsidRDefault="00BE3D4F" w:rsidP="00BE3D4F">
            <w:pPr>
              <w:spacing w:line="360" w:lineRule="auto"/>
              <w:jc w:val="left"/>
              <w:rPr>
                <w:rFonts w:ascii="Arial" w:hAnsi="Arial" w:cs="Arial"/>
                <w:sz w:val="18"/>
                <w:szCs w:val="18"/>
              </w:rPr>
            </w:pPr>
            <w:r w:rsidRPr="0091431F">
              <w:rPr>
                <w:rFonts w:ascii="Arial" w:hAnsi="Arial" w:cs="Arial"/>
                <w:sz w:val="18"/>
                <w:szCs w:val="18"/>
              </w:rPr>
              <w:t>Resultado: 2</w:t>
            </w:r>
          </w:p>
          <w:p w14:paraId="676A67FC" w14:textId="77777777" w:rsidR="00BE3D4F" w:rsidRPr="0091431F" w:rsidRDefault="00BE3D4F" w:rsidP="00BE3D4F">
            <w:pPr>
              <w:spacing w:line="360" w:lineRule="auto"/>
              <w:jc w:val="both"/>
              <w:rPr>
                <w:rFonts w:ascii="Arial" w:hAnsi="Arial" w:cs="Arial"/>
                <w:sz w:val="18"/>
                <w:szCs w:val="18"/>
              </w:rPr>
            </w:pPr>
            <w:r w:rsidRPr="0091431F">
              <w:rPr>
                <w:rFonts w:ascii="Arial" w:hAnsi="Arial" w:cs="Arial"/>
                <w:sz w:val="18"/>
                <w:szCs w:val="18"/>
              </w:rPr>
              <w:t>Observación: 3</w:t>
            </w:r>
          </w:p>
        </w:tc>
        <w:tc>
          <w:tcPr>
            <w:tcW w:w="2834" w:type="dxa"/>
          </w:tcPr>
          <w:p w14:paraId="78242CA6" w14:textId="77777777" w:rsidR="00BE3D4F" w:rsidRPr="0091431F" w:rsidRDefault="00BE3D4F" w:rsidP="00BE3D4F">
            <w:pPr>
              <w:spacing w:line="360" w:lineRule="auto"/>
              <w:jc w:val="both"/>
              <w:rPr>
                <w:rFonts w:ascii="Arial" w:hAnsi="Arial" w:cs="Arial"/>
                <w:sz w:val="18"/>
                <w:szCs w:val="18"/>
              </w:rPr>
            </w:pPr>
            <w:r w:rsidRPr="0091431F">
              <w:rPr>
                <w:rFonts w:ascii="Arial" w:hAnsi="Arial" w:cs="Arial"/>
                <w:sz w:val="18"/>
                <w:szCs w:val="18"/>
              </w:rPr>
              <w:t>Inconsistencia en la documentación por comprobación por viáticos</w:t>
            </w:r>
          </w:p>
        </w:tc>
        <w:tc>
          <w:tcPr>
            <w:tcW w:w="3118" w:type="dxa"/>
          </w:tcPr>
          <w:p w14:paraId="1ED1D10C" w14:textId="77777777" w:rsidR="00BE3D4F" w:rsidRPr="0091431F" w:rsidRDefault="00BE3D4F" w:rsidP="00BE3D4F">
            <w:pPr>
              <w:spacing w:line="360" w:lineRule="auto"/>
              <w:jc w:val="both"/>
              <w:rPr>
                <w:rFonts w:ascii="Arial" w:hAnsi="Arial" w:cs="Arial"/>
                <w:b/>
                <w:sz w:val="18"/>
                <w:szCs w:val="18"/>
              </w:rPr>
            </w:pPr>
            <w:r w:rsidRPr="0091431F">
              <w:rPr>
                <w:rFonts w:ascii="Arial" w:hAnsi="Arial" w:cs="Arial"/>
                <w:sz w:val="18"/>
                <w:szCs w:val="18"/>
              </w:rPr>
              <w:t>(4C) Omisiones o inconsistencias en la presentación de información financiera</w:t>
            </w:r>
          </w:p>
        </w:tc>
        <w:tc>
          <w:tcPr>
            <w:tcW w:w="1940" w:type="dxa"/>
          </w:tcPr>
          <w:p w14:paraId="01D3A9D4" w14:textId="08AE84FB" w:rsidR="00E10C41" w:rsidRDefault="00E10C41" w:rsidP="00E10C41">
            <w:pPr>
              <w:spacing w:line="360" w:lineRule="auto"/>
              <w:jc w:val="right"/>
              <w:rPr>
                <w:rFonts w:ascii="Arial" w:hAnsi="Arial" w:cs="Arial"/>
                <w:sz w:val="18"/>
                <w:szCs w:val="18"/>
                <w:lang w:eastAsia="es-MX"/>
              </w:rPr>
            </w:pPr>
            <w:r>
              <w:rPr>
                <w:rFonts w:ascii="Arial" w:hAnsi="Arial" w:cs="Arial"/>
                <w:sz w:val="18"/>
                <w:szCs w:val="18"/>
                <w:lang w:eastAsia="es-MX"/>
              </w:rPr>
              <w:t>Solventado</w:t>
            </w:r>
          </w:p>
          <w:p w14:paraId="2A305718" w14:textId="5C64F24B" w:rsidR="00E10C41" w:rsidRDefault="00E10C41" w:rsidP="00E10C41">
            <w:pPr>
              <w:spacing w:line="360" w:lineRule="auto"/>
              <w:jc w:val="right"/>
              <w:rPr>
                <w:rFonts w:ascii="Arial" w:hAnsi="Arial" w:cs="Arial"/>
                <w:sz w:val="18"/>
                <w:szCs w:val="18"/>
                <w:lang w:eastAsia="es-MX"/>
              </w:rPr>
            </w:pPr>
            <w:r>
              <w:rPr>
                <w:rFonts w:ascii="Arial" w:hAnsi="Arial" w:cs="Arial"/>
                <w:sz w:val="18"/>
                <w:szCs w:val="18"/>
              </w:rPr>
              <w:t>Recomendación</w:t>
            </w:r>
          </w:p>
          <w:p w14:paraId="5786ED5C" w14:textId="77777777" w:rsidR="00BE3D4F" w:rsidRPr="0091431F" w:rsidRDefault="00BE3D4F" w:rsidP="00FB4107">
            <w:pPr>
              <w:spacing w:line="360" w:lineRule="auto"/>
              <w:jc w:val="right"/>
              <w:rPr>
                <w:rFonts w:ascii="Arial" w:hAnsi="Arial" w:cs="Arial"/>
                <w:sz w:val="18"/>
                <w:szCs w:val="18"/>
              </w:rPr>
            </w:pPr>
          </w:p>
        </w:tc>
      </w:tr>
      <w:tr w:rsidR="00BE3D4F" w:rsidRPr="0091431F" w14:paraId="61037F87" w14:textId="6E4CCD7E" w:rsidTr="00E9544F">
        <w:trPr>
          <w:jc w:val="center"/>
        </w:trPr>
        <w:tc>
          <w:tcPr>
            <w:tcW w:w="1556" w:type="dxa"/>
          </w:tcPr>
          <w:p w14:paraId="1F551F6B" w14:textId="77777777" w:rsidR="00BE3D4F" w:rsidRPr="0091431F" w:rsidRDefault="00BE3D4F" w:rsidP="00BE3D4F">
            <w:pPr>
              <w:spacing w:line="360" w:lineRule="auto"/>
              <w:jc w:val="left"/>
              <w:rPr>
                <w:rFonts w:ascii="Arial" w:hAnsi="Arial" w:cs="Arial"/>
                <w:sz w:val="18"/>
                <w:szCs w:val="18"/>
              </w:rPr>
            </w:pPr>
            <w:r w:rsidRPr="0091431F">
              <w:rPr>
                <w:rFonts w:ascii="Arial" w:hAnsi="Arial" w:cs="Arial"/>
                <w:sz w:val="18"/>
                <w:szCs w:val="18"/>
              </w:rPr>
              <w:t>Resultado: 3</w:t>
            </w:r>
          </w:p>
          <w:p w14:paraId="1FA2FF0D" w14:textId="77777777" w:rsidR="00BE3D4F" w:rsidRPr="0091431F" w:rsidRDefault="00BE3D4F" w:rsidP="00BE3D4F">
            <w:pPr>
              <w:spacing w:line="360" w:lineRule="auto"/>
              <w:jc w:val="left"/>
              <w:rPr>
                <w:rFonts w:ascii="Arial" w:hAnsi="Arial" w:cs="Arial"/>
                <w:sz w:val="18"/>
                <w:szCs w:val="18"/>
              </w:rPr>
            </w:pPr>
            <w:r w:rsidRPr="0091431F">
              <w:rPr>
                <w:rFonts w:ascii="Arial" w:hAnsi="Arial" w:cs="Arial"/>
                <w:sz w:val="18"/>
                <w:szCs w:val="18"/>
              </w:rPr>
              <w:t>Observación: 4</w:t>
            </w:r>
          </w:p>
        </w:tc>
        <w:tc>
          <w:tcPr>
            <w:tcW w:w="2834" w:type="dxa"/>
          </w:tcPr>
          <w:p w14:paraId="4B1F4B85" w14:textId="77777777" w:rsidR="00BE3D4F" w:rsidRPr="0091431F" w:rsidRDefault="00BE3D4F" w:rsidP="00BE3D4F">
            <w:pPr>
              <w:spacing w:line="360" w:lineRule="auto"/>
              <w:jc w:val="both"/>
              <w:rPr>
                <w:rFonts w:ascii="Arial" w:hAnsi="Arial" w:cs="Arial"/>
                <w:sz w:val="18"/>
                <w:szCs w:val="18"/>
                <w:lang w:eastAsia="es-MX"/>
              </w:rPr>
            </w:pPr>
            <w:r w:rsidRPr="0091431F">
              <w:rPr>
                <w:rFonts w:ascii="Arial" w:hAnsi="Arial" w:cs="Arial"/>
                <w:sz w:val="18"/>
                <w:szCs w:val="18"/>
              </w:rPr>
              <w:t>Presentación extemporánea en la comprobación de viáticos</w:t>
            </w:r>
          </w:p>
        </w:tc>
        <w:tc>
          <w:tcPr>
            <w:tcW w:w="3118" w:type="dxa"/>
          </w:tcPr>
          <w:p w14:paraId="0AA11732" w14:textId="77777777" w:rsidR="00BE3D4F" w:rsidRPr="0091431F" w:rsidRDefault="00BE3D4F" w:rsidP="00BE3D4F">
            <w:pPr>
              <w:spacing w:line="360" w:lineRule="auto"/>
              <w:jc w:val="both"/>
              <w:rPr>
                <w:rFonts w:ascii="Arial" w:hAnsi="Arial" w:cs="Arial"/>
                <w:sz w:val="18"/>
                <w:szCs w:val="18"/>
              </w:rPr>
            </w:pPr>
            <w:r w:rsidRPr="0091431F">
              <w:rPr>
                <w:rFonts w:ascii="Arial" w:hAnsi="Arial" w:cs="Arial"/>
                <w:sz w:val="18"/>
                <w:szCs w:val="18"/>
              </w:rPr>
              <w:t>(1C) Falta de autorización o justificación de las erogaciones</w:t>
            </w:r>
          </w:p>
        </w:tc>
        <w:tc>
          <w:tcPr>
            <w:tcW w:w="1940" w:type="dxa"/>
          </w:tcPr>
          <w:p w14:paraId="52272F05" w14:textId="7A470A49" w:rsidR="00E10C41" w:rsidRDefault="00823EF0" w:rsidP="00E10C41">
            <w:pPr>
              <w:spacing w:line="360" w:lineRule="auto"/>
              <w:jc w:val="right"/>
              <w:rPr>
                <w:rFonts w:ascii="Arial" w:hAnsi="Arial" w:cs="Arial"/>
                <w:sz w:val="18"/>
                <w:szCs w:val="18"/>
                <w:lang w:eastAsia="es-MX"/>
              </w:rPr>
            </w:pPr>
            <w:r>
              <w:rPr>
                <w:rFonts w:ascii="Arial" w:hAnsi="Arial" w:cs="Arial"/>
                <w:sz w:val="18"/>
                <w:szCs w:val="18"/>
                <w:lang w:eastAsia="es-MX"/>
              </w:rPr>
              <w:t>No s</w:t>
            </w:r>
            <w:r w:rsidR="00E10C41">
              <w:rPr>
                <w:rFonts w:ascii="Arial" w:hAnsi="Arial" w:cs="Arial"/>
                <w:sz w:val="18"/>
                <w:szCs w:val="18"/>
                <w:lang w:eastAsia="es-MX"/>
              </w:rPr>
              <w:t>olventado</w:t>
            </w:r>
          </w:p>
          <w:p w14:paraId="13744A45" w14:textId="1F90DE02" w:rsidR="00BE3D4F" w:rsidRPr="0091431F" w:rsidRDefault="00E10C41" w:rsidP="00EC4DEC">
            <w:pPr>
              <w:spacing w:line="360" w:lineRule="auto"/>
              <w:jc w:val="right"/>
              <w:rPr>
                <w:rFonts w:ascii="Arial" w:hAnsi="Arial" w:cs="Arial"/>
                <w:sz w:val="18"/>
                <w:szCs w:val="18"/>
              </w:rPr>
            </w:pPr>
            <w:r>
              <w:rPr>
                <w:rFonts w:ascii="Arial" w:hAnsi="Arial" w:cs="Arial"/>
                <w:sz w:val="18"/>
                <w:szCs w:val="18"/>
              </w:rPr>
              <w:t>Recomendación</w:t>
            </w:r>
          </w:p>
        </w:tc>
      </w:tr>
      <w:tr w:rsidR="00BE3D4F" w:rsidRPr="0091431F" w14:paraId="067DDC36" w14:textId="6F51F754" w:rsidTr="00E9544F">
        <w:trPr>
          <w:jc w:val="center"/>
        </w:trPr>
        <w:tc>
          <w:tcPr>
            <w:tcW w:w="1556" w:type="dxa"/>
          </w:tcPr>
          <w:p w14:paraId="5E4037E1" w14:textId="77777777" w:rsidR="00BE3D4F" w:rsidRPr="0091431F" w:rsidRDefault="00BE3D4F" w:rsidP="00BE3D4F">
            <w:pPr>
              <w:spacing w:line="360" w:lineRule="auto"/>
              <w:jc w:val="left"/>
              <w:rPr>
                <w:rFonts w:ascii="Arial" w:hAnsi="Arial" w:cs="Arial"/>
                <w:sz w:val="18"/>
                <w:szCs w:val="18"/>
              </w:rPr>
            </w:pPr>
            <w:r w:rsidRPr="0091431F">
              <w:rPr>
                <w:rFonts w:ascii="Arial" w:hAnsi="Arial" w:cs="Arial"/>
                <w:sz w:val="18"/>
                <w:szCs w:val="18"/>
              </w:rPr>
              <w:t>Resultado: 4</w:t>
            </w:r>
          </w:p>
          <w:p w14:paraId="60ACAAC6" w14:textId="77777777" w:rsidR="00BE3D4F" w:rsidRPr="0091431F" w:rsidRDefault="00BE3D4F" w:rsidP="00BE3D4F">
            <w:pPr>
              <w:spacing w:line="360" w:lineRule="auto"/>
              <w:jc w:val="left"/>
              <w:rPr>
                <w:rFonts w:ascii="Arial" w:hAnsi="Arial" w:cs="Arial"/>
                <w:sz w:val="18"/>
                <w:szCs w:val="18"/>
              </w:rPr>
            </w:pPr>
            <w:r w:rsidRPr="0091431F">
              <w:rPr>
                <w:rFonts w:ascii="Arial" w:hAnsi="Arial" w:cs="Arial"/>
                <w:sz w:val="18"/>
                <w:szCs w:val="18"/>
              </w:rPr>
              <w:t>Observación: 5</w:t>
            </w:r>
          </w:p>
        </w:tc>
        <w:tc>
          <w:tcPr>
            <w:tcW w:w="2834" w:type="dxa"/>
          </w:tcPr>
          <w:p w14:paraId="5B204751" w14:textId="77777777" w:rsidR="00BE3D4F" w:rsidRPr="0091431F" w:rsidRDefault="00BE3D4F" w:rsidP="00BE3D4F">
            <w:pPr>
              <w:spacing w:line="360" w:lineRule="auto"/>
              <w:jc w:val="both"/>
              <w:rPr>
                <w:rFonts w:ascii="Arial" w:hAnsi="Arial" w:cs="Arial"/>
                <w:sz w:val="18"/>
                <w:szCs w:val="18"/>
                <w:lang w:eastAsia="es-MX"/>
              </w:rPr>
            </w:pPr>
            <w:r w:rsidRPr="0091431F">
              <w:rPr>
                <w:rFonts w:ascii="Arial" w:hAnsi="Arial" w:cs="Arial"/>
                <w:sz w:val="18"/>
                <w:szCs w:val="18"/>
              </w:rPr>
              <w:t>Duplicidad en pago del I.S.R. de salarios</w:t>
            </w:r>
          </w:p>
        </w:tc>
        <w:tc>
          <w:tcPr>
            <w:tcW w:w="3118" w:type="dxa"/>
          </w:tcPr>
          <w:p w14:paraId="005CE305" w14:textId="77777777" w:rsidR="00BE3D4F" w:rsidRPr="0091431F" w:rsidRDefault="00BE3D4F" w:rsidP="00BE3D4F">
            <w:pPr>
              <w:spacing w:line="360" w:lineRule="auto"/>
              <w:jc w:val="both"/>
              <w:rPr>
                <w:rFonts w:ascii="Arial" w:hAnsi="Arial" w:cs="Arial"/>
                <w:sz w:val="18"/>
                <w:szCs w:val="18"/>
              </w:rPr>
            </w:pPr>
            <w:r w:rsidRPr="0091431F">
              <w:rPr>
                <w:rFonts w:ascii="Arial" w:hAnsi="Arial" w:cs="Arial"/>
                <w:sz w:val="18"/>
                <w:szCs w:val="18"/>
              </w:rPr>
              <w:t>(2A) Pagos improcedentes o en exceso</w:t>
            </w:r>
          </w:p>
        </w:tc>
        <w:tc>
          <w:tcPr>
            <w:tcW w:w="1940" w:type="dxa"/>
          </w:tcPr>
          <w:p w14:paraId="1EE096D7" w14:textId="77777777" w:rsidR="00E10C41" w:rsidRDefault="00E10C41" w:rsidP="00E10C41">
            <w:pPr>
              <w:spacing w:line="360" w:lineRule="auto"/>
              <w:jc w:val="right"/>
              <w:rPr>
                <w:rFonts w:ascii="Arial" w:hAnsi="Arial" w:cs="Arial"/>
                <w:sz w:val="18"/>
                <w:szCs w:val="18"/>
                <w:lang w:eastAsia="es-MX"/>
              </w:rPr>
            </w:pPr>
            <w:r>
              <w:rPr>
                <w:rFonts w:ascii="Arial" w:hAnsi="Arial" w:cs="Arial"/>
                <w:sz w:val="18"/>
                <w:szCs w:val="18"/>
                <w:lang w:eastAsia="es-MX"/>
              </w:rPr>
              <w:t>Solventado</w:t>
            </w:r>
          </w:p>
          <w:p w14:paraId="45A30377" w14:textId="77777777" w:rsidR="00BE3D4F" w:rsidRDefault="00FB4107" w:rsidP="00FB4107">
            <w:pPr>
              <w:spacing w:line="360" w:lineRule="auto"/>
              <w:jc w:val="right"/>
              <w:rPr>
                <w:rFonts w:ascii="Arial" w:hAnsi="Arial" w:cs="Arial"/>
                <w:sz w:val="18"/>
                <w:szCs w:val="18"/>
              </w:rPr>
            </w:pPr>
            <w:r>
              <w:rPr>
                <w:rFonts w:ascii="Arial" w:hAnsi="Arial" w:cs="Arial"/>
                <w:sz w:val="18"/>
                <w:szCs w:val="18"/>
              </w:rPr>
              <w:t>517.52</w:t>
            </w:r>
          </w:p>
          <w:p w14:paraId="368A4F8C" w14:textId="748D3F03" w:rsidR="00E10C41" w:rsidRPr="0091431F" w:rsidRDefault="00E10C41" w:rsidP="00FB4107">
            <w:pPr>
              <w:spacing w:line="360" w:lineRule="auto"/>
              <w:jc w:val="right"/>
              <w:rPr>
                <w:rFonts w:ascii="Arial" w:hAnsi="Arial" w:cs="Arial"/>
                <w:sz w:val="18"/>
                <w:szCs w:val="18"/>
              </w:rPr>
            </w:pPr>
            <w:r>
              <w:rPr>
                <w:rFonts w:ascii="Arial" w:hAnsi="Arial" w:cs="Arial"/>
                <w:sz w:val="18"/>
                <w:szCs w:val="18"/>
              </w:rPr>
              <w:t>Recomendación</w:t>
            </w:r>
          </w:p>
        </w:tc>
      </w:tr>
      <w:tr w:rsidR="00BE3D4F" w:rsidRPr="0091431F" w14:paraId="30973F4E" w14:textId="731A756A" w:rsidTr="00E9544F">
        <w:trPr>
          <w:jc w:val="center"/>
        </w:trPr>
        <w:tc>
          <w:tcPr>
            <w:tcW w:w="1556" w:type="dxa"/>
          </w:tcPr>
          <w:p w14:paraId="2575A93C" w14:textId="77777777" w:rsidR="00BE3D4F" w:rsidRPr="0091431F" w:rsidRDefault="00BE3D4F" w:rsidP="00BE3D4F">
            <w:pPr>
              <w:spacing w:line="360" w:lineRule="auto"/>
              <w:jc w:val="left"/>
              <w:rPr>
                <w:rFonts w:ascii="Arial" w:hAnsi="Arial" w:cs="Arial"/>
                <w:sz w:val="18"/>
                <w:szCs w:val="18"/>
              </w:rPr>
            </w:pPr>
            <w:r w:rsidRPr="0091431F">
              <w:rPr>
                <w:rFonts w:ascii="Arial" w:hAnsi="Arial" w:cs="Arial"/>
                <w:sz w:val="18"/>
                <w:szCs w:val="18"/>
              </w:rPr>
              <w:t>Resultado: 5</w:t>
            </w:r>
          </w:p>
          <w:p w14:paraId="2DEA2BB1" w14:textId="77777777" w:rsidR="00BE3D4F" w:rsidRPr="0091431F" w:rsidRDefault="00BE3D4F" w:rsidP="00BE3D4F">
            <w:pPr>
              <w:spacing w:line="360" w:lineRule="auto"/>
              <w:jc w:val="left"/>
              <w:rPr>
                <w:rFonts w:ascii="Arial" w:hAnsi="Arial" w:cs="Arial"/>
                <w:sz w:val="18"/>
                <w:szCs w:val="18"/>
              </w:rPr>
            </w:pPr>
            <w:r w:rsidRPr="0091431F">
              <w:rPr>
                <w:rFonts w:ascii="Arial" w:hAnsi="Arial" w:cs="Arial"/>
                <w:sz w:val="18"/>
                <w:szCs w:val="18"/>
              </w:rPr>
              <w:t>Observación: 6</w:t>
            </w:r>
          </w:p>
        </w:tc>
        <w:tc>
          <w:tcPr>
            <w:tcW w:w="2834" w:type="dxa"/>
          </w:tcPr>
          <w:p w14:paraId="0B9ADE23" w14:textId="77777777" w:rsidR="00BE3D4F" w:rsidRPr="0091431F" w:rsidRDefault="00BE3D4F" w:rsidP="00BE3D4F">
            <w:pPr>
              <w:spacing w:line="360" w:lineRule="auto"/>
              <w:jc w:val="both"/>
              <w:rPr>
                <w:rFonts w:ascii="Arial" w:hAnsi="Arial" w:cs="Arial"/>
                <w:sz w:val="18"/>
                <w:szCs w:val="18"/>
                <w:lang w:eastAsia="es-MX"/>
              </w:rPr>
            </w:pPr>
            <w:r w:rsidRPr="0091431F">
              <w:rPr>
                <w:rFonts w:ascii="Arial" w:hAnsi="Arial" w:cs="Arial"/>
                <w:sz w:val="18"/>
                <w:szCs w:val="18"/>
              </w:rPr>
              <w:t>Registro incorrecto del I.S.R. de salarios</w:t>
            </w:r>
          </w:p>
        </w:tc>
        <w:tc>
          <w:tcPr>
            <w:tcW w:w="3118" w:type="dxa"/>
          </w:tcPr>
          <w:p w14:paraId="4F48A2B8" w14:textId="77777777" w:rsidR="00BE3D4F" w:rsidRPr="0091431F" w:rsidRDefault="00BE3D4F" w:rsidP="00BE3D4F">
            <w:pPr>
              <w:spacing w:line="360" w:lineRule="auto"/>
              <w:jc w:val="both"/>
              <w:rPr>
                <w:rFonts w:ascii="Arial" w:hAnsi="Arial" w:cs="Arial"/>
                <w:sz w:val="18"/>
                <w:szCs w:val="18"/>
              </w:rPr>
            </w:pPr>
            <w:r w:rsidRPr="0091431F">
              <w:rPr>
                <w:rFonts w:ascii="Arial" w:hAnsi="Arial" w:cs="Arial"/>
                <w:sz w:val="18"/>
                <w:szCs w:val="18"/>
                <w:lang w:eastAsia="es-MX"/>
              </w:rPr>
              <w:t>(4B) operaciones o bienes no registrados o registrados errónea o extemporáneamente</w:t>
            </w:r>
          </w:p>
        </w:tc>
        <w:tc>
          <w:tcPr>
            <w:tcW w:w="1940" w:type="dxa"/>
          </w:tcPr>
          <w:p w14:paraId="65669A4D" w14:textId="76F0A056" w:rsidR="00E10C41" w:rsidRDefault="00E10C41" w:rsidP="00E10C41">
            <w:pPr>
              <w:spacing w:line="360" w:lineRule="auto"/>
              <w:jc w:val="right"/>
              <w:rPr>
                <w:rFonts w:ascii="Arial" w:hAnsi="Arial" w:cs="Arial"/>
                <w:sz w:val="18"/>
                <w:szCs w:val="18"/>
                <w:lang w:eastAsia="es-MX"/>
              </w:rPr>
            </w:pPr>
            <w:r>
              <w:rPr>
                <w:rFonts w:ascii="Arial" w:hAnsi="Arial" w:cs="Arial"/>
                <w:sz w:val="18"/>
                <w:szCs w:val="18"/>
                <w:lang w:eastAsia="es-MX"/>
              </w:rPr>
              <w:t>Solventado</w:t>
            </w:r>
          </w:p>
          <w:p w14:paraId="08440D44" w14:textId="46637146" w:rsidR="00E10C41" w:rsidRDefault="00E10C41" w:rsidP="00E10C41">
            <w:pPr>
              <w:spacing w:line="360" w:lineRule="auto"/>
              <w:jc w:val="right"/>
              <w:rPr>
                <w:rFonts w:ascii="Arial" w:hAnsi="Arial" w:cs="Arial"/>
                <w:sz w:val="18"/>
                <w:szCs w:val="18"/>
                <w:lang w:eastAsia="es-MX"/>
              </w:rPr>
            </w:pPr>
            <w:r>
              <w:rPr>
                <w:rFonts w:ascii="Arial" w:hAnsi="Arial" w:cs="Arial"/>
                <w:sz w:val="18"/>
                <w:szCs w:val="18"/>
              </w:rPr>
              <w:t>Recomendación</w:t>
            </w:r>
          </w:p>
          <w:p w14:paraId="59174F41" w14:textId="77777777" w:rsidR="00BE3D4F" w:rsidRPr="0091431F" w:rsidRDefault="00BE3D4F" w:rsidP="00FB4107">
            <w:pPr>
              <w:spacing w:line="360" w:lineRule="auto"/>
              <w:jc w:val="right"/>
              <w:rPr>
                <w:rFonts w:ascii="Arial" w:hAnsi="Arial" w:cs="Arial"/>
                <w:sz w:val="18"/>
                <w:szCs w:val="18"/>
                <w:lang w:eastAsia="es-MX"/>
              </w:rPr>
            </w:pPr>
          </w:p>
        </w:tc>
      </w:tr>
      <w:tr w:rsidR="00BE3D4F" w:rsidRPr="0091431F" w14:paraId="133A966B" w14:textId="6E48523E" w:rsidTr="00E9544F">
        <w:trPr>
          <w:jc w:val="center"/>
        </w:trPr>
        <w:tc>
          <w:tcPr>
            <w:tcW w:w="1556" w:type="dxa"/>
          </w:tcPr>
          <w:p w14:paraId="35645606" w14:textId="77777777" w:rsidR="00BE3D4F" w:rsidRPr="0091431F" w:rsidRDefault="00BE3D4F" w:rsidP="00BE3D4F">
            <w:pPr>
              <w:spacing w:line="360" w:lineRule="auto"/>
              <w:jc w:val="left"/>
              <w:rPr>
                <w:rFonts w:ascii="Arial" w:hAnsi="Arial" w:cs="Arial"/>
                <w:sz w:val="18"/>
                <w:szCs w:val="18"/>
              </w:rPr>
            </w:pPr>
            <w:r w:rsidRPr="0091431F">
              <w:rPr>
                <w:rFonts w:ascii="Arial" w:hAnsi="Arial" w:cs="Arial"/>
                <w:sz w:val="18"/>
                <w:szCs w:val="18"/>
              </w:rPr>
              <w:t>Resultado: 6</w:t>
            </w:r>
          </w:p>
          <w:p w14:paraId="6544F0FB" w14:textId="77777777" w:rsidR="00BE3D4F" w:rsidRPr="0091431F" w:rsidRDefault="00BE3D4F" w:rsidP="00BE3D4F">
            <w:pPr>
              <w:spacing w:line="360" w:lineRule="auto"/>
              <w:jc w:val="left"/>
              <w:rPr>
                <w:rFonts w:ascii="Arial" w:hAnsi="Arial" w:cs="Arial"/>
                <w:sz w:val="18"/>
                <w:szCs w:val="18"/>
              </w:rPr>
            </w:pPr>
            <w:r w:rsidRPr="0091431F">
              <w:rPr>
                <w:rFonts w:ascii="Arial" w:hAnsi="Arial" w:cs="Arial"/>
                <w:sz w:val="18"/>
                <w:szCs w:val="18"/>
              </w:rPr>
              <w:t>Observación: 7</w:t>
            </w:r>
          </w:p>
        </w:tc>
        <w:tc>
          <w:tcPr>
            <w:tcW w:w="2834" w:type="dxa"/>
          </w:tcPr>
          <w:p w14:paraId="20DDADFE" w14:textId="77777777" w:rsidR="00BE3D4F" w:rsidRPr="0091431F" w:rsidRDefault="00BE3D4F" w:rsidP="00BE3D4F">
            <w:pPr>
              <w:spacing w:line="360" w:lineRule="auto"/>
              <w:jc w:val="both"/>
              <w:rPr>
                <w:rFonts w:ascii="Arial" w:hAnsi="Arial" w:cs="Arial"/>
                <w:sz w:val="18"/>
                <w:szCs w:val="18"/>
                <w:lang w:eastAsia="es-MX"/>
              </w:rPr>
            </w:pPr>
            <w:r w:rsidRPr="0091431F">
              <w:rPr>
                <w:rFonts w:ascii="Arial" w:hAnsi="Arial" w:cs="Arial"/>
                <w:sz w:val="18"/>
                <w:szCs w:val="18"/>
              </w:rPr>
              <w:t xml:space="preserve">Documentación incompleta por servicio de conservación y mantenimiento menor de inmuebles  </w:t>
            </w:r>
          </w:p>
        </w:tc>
        <w:tc>
          <w:tcPr>
            <w:tcW w:w="3118" w:type="dxa"/>
          </w:tcPr>
          <w:p w14:paraId="7368B6D2" w14:textId="77777777" w:rsidR="00BE3D4F" w:rsidRPr="0091431F" w:rsidRDefault="00BE3D4F" w:rsidP="00BE3D4F">
            <w:pPr>
              <w:spacing w:line="360" w:lineRule="auto"/>
              <w:jc w:val="both"/>
              <w:rPr>
                <w:rFonts w:ascii="Arial" w:hAnsi="Arial" w:cs="Arial"/>
                <w:sz w:val="18"/>
                <w:szCs w:val="18"/>
              </w:rPr>
            </w:pPr>
            <w:r w:rsidRPr="0091431F">
              <w:rPr>
                <w:rFonts w:ascii="Arial" w:hAnsi="Arial" w:cs="Arial"/>
                <w:sz w:val="18"/>
                <w:szCs w:val="18"/>
              </w:rPr>
              <w:t>(1F) Falta de documentación comprobatoria y justificativa de las erogaciones</w:t>
            </w:r>
          </w:p>
        </w:tc>
        <w:tc>
          <w:tcPr>
            <w:tcW w:w="1940" w:type="dxa"/>
          </w:tcPr>
          <w:p w14:paraId="2A377D73" w14:textId="77777777" w:rsidR="00E10C41" w:rsidRDefault="00E10C41" w:rsidP="00E10C41">
            <w:pPr>
              <w:spacing w:line="360" w:lineRule="auto"/>
              <w:jc w:val="right"/>
              <w:rPr>
                <w:rFonts w:ascii="Arial" w:hAnsi="Arial" w:cs="Arial"/>
                <w:sz w:val="18"/>
                <w:szCs w:val="18"/>
                <w:lang w:eastAsia="es-MX"/>
              </w:rPr>
            </w:pPr>
            <w:r>
              <w:rPr>
                <w:rFonts w:ascii="Arial" w:hAnsi="Arial" w:cs="Arial"/>
                <w:sz w:val="18"/>
                <w:szCs w:val="18"/>
                <w:lang w:eastAsia="es-MX"/>
              </w:rPr>
              <w:t>Solventado</w:t>
            </w:r>
          </w:p>
          <w:p w14:paraId="777AD6E4" w14:textId="77777777" w:rsidR="00BE3D4F" w:rsidRDefault="00FB4107" w:rsidP="00FB4107">
            <w:pPr>
              <w:spacing w:line="360" w:lineRule="auto"/>
              <w:jc w:val="right"/>
              <w:rPr>
                <w:rFonts w:ascii="Arial" w:hAnsi="Arial" w:cs="Arial"/>
                <w:sz w:val="18"/>
                <w:szCs w:val="18"/>
              </w:rPr>
            </w:pPr>
            <w:r>
              <w:rPr>
                <w:rFonts w:ascii="Arial" w:hAnsi="Arial" w:cs="Arial"/>
                <w:sz w:val="18"/>
                <w:szCs w:val="18"/>
              </w:rPr>
              <w:t>686,137.43</w:t>
            </w:r>
          </w:p>
          <w:p w14:paraId="6788085C" w14:textId="23BDE228" w:rsidR="00E10C41" w:rsidRPr="0091431F" w:rsidRDefault="00E10C41" w:rsidP="00FB4107">
            <w:pPr>
              <w:spacing w:line="360" w:lineRule="auto"/>
              <w:jc w:val="right"/>
              <w:rPr>
                <w:rFonts w:ascii="Arial" w:hAnsi="Arial" w:cs="Arial"/>
                <w:sz w:val="18"/>
                <w:szCs w:val="18"/>
              </w:rPr>
            </w:pPr>
            <w:r>
              <w:rPr>
                <w:rFonts w:ascii="Arial" w:hAnsi="Arial" w:cs="Arial"/>
                <w:sz w:val="18"/>
                <w:szCs w:val="18"/>
              </w:rPr>
              <w:t>Recomendación</w:t>
            </w:r>
          </w:p>
        </w:tc>
      </w:tr>
      <w:tr w:rsidR="00BE3D4F" w:rsidRPr="0091431F" w14:paraId="3DA01B5B" w14:textId="68B5AABB" w:rsidTr="00E9544F">
        <w:trPr>
          <w:jc w:val="center"/>
        </w:trPr>
        <w:tc>
          <w:tcPr>
            <w:tcW w:w="1556" w:type="dxa"/>
          </w:tcPr>
          <w:p w14:paraId="49A951B9" w14:textId="77777777" w:rsidR="00BE3D4F" w:rsidRPr="0091431F" w:rsidRDefault="00BE3D4F" w:rsidP="00BE3D4F">
            <w:pPr>
              <w:spacing w:line="360" w:lineRule="auto"/>
              <w:jc w:val="left"/>
              <w:rPr>
                <w:rFonts w:ascii="Arial" w:hAnsi="Arial" w:cs="Arial"/>
                <w:sz w:val="18"/>
                <w:szCs w:val="18"/>
              </w:rPr>
            </w:pPr>
            <w:r w:rsidRPr="0091431F">
              <w:rPr>
                <w:rFonts w:ascii="Arial" w:hAnsi="Arial" w:cs="Arial"/>
                <w:sz w:val="18"/>
                <w:szCs w:val="18"/>
              </w:rPr>
              <w:t>Resultado: 7</w:t>
            </w:r>
          </w:p>
          <w:p w14:paraId="7FB111A7" w14:textId="77777777" w:rsidR="00BE3D4F" w:rsidRPr="0091431F" w:rsidRDefault="00BE3D4F" w:rsidP="00BE3D4F">
            <w:pPr>
              <w:spacing w:line="360" w:lineRule="auto"/>
              <w:jc w:val="left"/>
              <w:rPr>
                <w:rFonts w:ascii="Arial" w:hAnsi="Arial" w:cs="Arial"/>
                <w:sz w:val="18"/>
                <w:szCs w:val="18"/>
              </w:rPr>
            </w:pPr>
            <w:r w:rsidRPr="0091431F">
              <w:rPr>
                <w:rFonts w:ascii="Arial" w:hAnsi="Arial" w:cs="Arial"/>
                <w:sz w:val="18"/>
                <w:szCs w:val="18"/>
              </w:rPr>
              <w:t>Observación: 8</w:t>
            </w:r>
          </w:p>
        </w:tc>
        <w:tc>
          <w:tcPr>
            <w:tcW w:w="2834" w:type="dxa"/>
          </w:tcPr>
          <w:p w14:paraId="46FF1FA4" w14:textId="77777777" w:rsidR="00BE3D4F" w:rsidRPr="0091431F" w:rsidRDefault="00BE3D4F" w:rsidP="00BE3D4F">
            <w:pPr>
              <w:spacing w:line="360" w:lineRule="auto"/>
              <w:jc w:val="both"/>
              <w:rPr>
                <w:rFonts w:ascii="Arial" w:hAnsi="Arial" w:cs="Arial"/>
                <w:sz w:val="18"/>
                <w:szCs w:val="18"/>
                <w:lang w:eastAsia="es-MX"/>
              </w:rPr>
            </w:pPr>
            <w:r w:rsidRPr="0091431F">
              <w:rPr>
                <w:rFonts w:ascii="Arial" w:hAnsi="Arial" w:cs="Arial"/>
                <w:sz w:val="18"/>
                <w:szCs w:val="18"/>
              </w:rPr>
              <w:t>Documentación incompleta por servicio de vigilancia por Covid-19</w:t>
            </w:r>
          </w:p>
        </w:tc>
        <w:tc>
          <w:tcPr>
            <w:tcW w:w="3118" w:type="dxa"/>
          </w:tcPr>
          <w:p w14:paraId="446DA6AD" w14:textId="77777777" w:rsidR="00BE3D4F" w:rsidRPr="0091431F" w:rsidRDefault="00BE3D4F" w:rsidP="00BE3D4F">
            <w:pPr>
              <w:spacing w:line="360" w:lineRule="auto"/>
              <w:jc w:val="both"/>
              <w:rPr>
                <w:rFonts w:ascii="Arial" w:hAnsi="Arial" w:cs="Arial"/>
                <w:sz w:val="18"/>
                <w:szCs w:val="18"/>
              </w:rPr>
            </w:pPr>
            <w:r w:rsidRPr="0091431F">
              <w:rPr>
                <w:rFonts w:ascii="Arial" w:hAnsi="Arial" w:cs="Arial"/>
                <w:sz w:val="18"/>
                <w:szCs w:val="18"/>
              </w:rPr>
              <w:t>(1B) Falta de documentación comprobatoria de las erogaciones o que no reúne requisitos fiscales</w:t>
            </w:r>
          </w:p>
        </w:tc>
        <w:tc>
          <w:tcPr>
            <w:tcW w:w="1940" w:type="dxa"/>
          </w:tcPr>
          <w:p w14:paraId="64024CEC" w14:textId="02CCFC56" w:rsidR="00E10C41" w:rsidRDefault="00E10C41" w:rsidP="00E10C41">
            <w:pPr>
              <w:spacing w:line="360" w:lineRule="auto"/>
              <w:jc w:val="right"/>
              <w:rPr>
                <w:rFonts w:ascii="Arial" w:hAnsi="Arial" w:cs="Arial"/>
                <w:sz w:val="18"/>
                <w:szCs w:val="18"/>
                <w:lang w:eastAsia="es-MX"/>
              </w:rPr>
            </w:pPr>
            <w:r>
              <w:rPr>
                <w:rFonts w:ascii="Arial" w:hAnsi="Arial" w:cs="Arial"/>
                <w:sz w:val="18"/>
                <w:szCs w:val="18"/>
                <w:lang w:eastAsia="es-MX"/>
              </w:rPr>
              <w:t>Solventado</w:t>
            </w:r>
          </w:p>
          <w:p w14:paraId="0CF91589" w14:textId="1B01E2F7" w:rsidR="00E10C41" w:rsidRDefault="00E10C41" w:rsidP="00E10C41">
            <w:pPr>
              <w:spacing w:line="360" w:lineRule="auto"/>
              <w:jc w:val="right"/>
              <w:rPr>
                <w:rFonts w:ascii="Arial" w:hAnsi="Arial" w:cs="Arial"/>
                <w:sz w:val="18"/>
                <w:szCs w:val="18"/>
                <w:lang w:eastAsia="es-MX"/>
              </w:rPr>
            </w:pPr>
            <w:r>
              <w:rPr>
                <w:rFonts w:ascii="Arial" w:hAnsi="Arial" w:cs="Arial"/>
                <w:sz w:val="18"/>
                <w:szCs w:val="18"/>
              </w:rPr>
              <w:t>Recomendación</w:t>
            </w:r>
          </w:p>
          <w:p w14:paraId="1C63A4B3" w14:textId="77777777" w:rsidR="00BE3D4F" w:rsidRPr="0091431F" w:rsidRDefault="00BE3D4F" w:rsidP="00FB4107">
            <w:pPr>
              <w:spacing w:line="360" w:lineRule="auto"/>
              <w:jc w:val="right"/>
              <w:rPr>
                <w:rFonts w:ascii="Arial" w:hAnsi="Arial" w:cs="Arial"/>
                <w:sz w:val="18"/>
                <w:szCs w:val="18"/>
              </w:rPr>
            </w:pPr>
          </w:p>
        </w:tc>
      </w:tr>
      <w:tr w:rsidR="00BE3D4F" w:rsidRPr="0091431F" w14:paraId="64ED9E9D" w14:textId="35B2158F" w:rsidTr="00E9544F">
        <w:trPr>
          <w:jc w:val="center"/>
        </w:trPr>
        <w:tc>
          <w:tcPr>
            <w:tcW w:w="1556" w:type="dxa"/>
          </w:tcPr>
          <w:p w14:paraId="42464A19" w14:textId="77777777" w:rsidR="00BE3D4F" w:rsidRPr="0091431F" w:rsidRDefault="00BE3D4F" w:rsidP="00BE3D4F">
            <w:pPr>
              <w:spacing w:line="360" w:lineRule="auto"/>
              <w:jc w:val="left"/>
              <w:rPr>
                <w:rFonts w:ascii="Arial" w:hAnsi="Arial" w:cs="Arial"/>
                <w:sz w:val="18"/>
                <w:szCs w:val="18"/>
              </w:rPr>
            </w:pPr>
            <w:r w:rsidRPr="0091431F">
              <w:rPr>
                <w:rFonts w:ascii="Arial" w:hAnsi="Arial" w:cs="Arial"/>
                <w:sz w:val="18"/>
                <w:szCs w:val="18"/>
              </w:rPr>
              <w:lastRenderedPageBreak/>
              <w:t>Resultado: 8</w:t>
            </w:r>
          </w:p>
          <w:p w14:paraId="1D958B55" w14:textId="77777777" w:rsidR="00BE3D4F" w:rsidRPr="0091431F" w:rsidRDefault="00BE3D4F" w:rsidP="00BE3D4F">
            <w:pPr>
              <w:spacing w:line="360" w:lineRule="auto"/>
              <w:jc w:val="left"/>
              <w:rPr>
                <w:rFonts w:ascii="Arial" w:hAnsi="Arial" w:cs="Arial"/>
                <w:sz w:val="18"/>
                <w:szCs w:val="18"/>
              </w:rPr>
            </w:pPr>
            <w:r w:rsidRPr="0091431F">
              <w:rPr>
                <w:rFonts w:ascii="Arial" w:hAnsi="Arial" w:cs="Arial"/>
                <w:sz w:val="18"/>
                <w:szCs w:val="18"/>
              </w:rPr>
              <w:t>Observación: 9</w:t>
            </w:r>
          </w:p>
        </w:tc>
        <w:tc>
          <w:tcPr>
            <w:tcW w:w="2834" w:type="dxa"/>
          </w:tcPr>
          <w:p w14:paraId="0D0F0516" w14:textId="77777777" w:rsidR="00BE3D4F" w:rsidRPr="0091431F" w:rsidRDefault="00BE3D4F" w:rsidP="00BE3D4F">
            <w:pPr>
              <w:spacing w:line="360" w:lineRule="auto"/>
              <w:jc w:val="both"/>
              <w:rPr>
                <w:rFonts w:ascii="Arial" w:hAnsi="Arial" w:cs="Arial"/>
                <w:sz w:val="18"/>
                <w:szCs w:val="18"/>
                <w:lang w:eastAsia="es-MX"/>
              </w:rPr>
            </w:pPr>
            <w:r w:rsidRPr="0091431F">
              <w:rPr>
                <w:rFonts w:ascii="Arial" w:hAnsi="Arial" w:cs="Arial"/>
                <w:sz w:val="18"/>
                <w:szCs w:val="18"/>
              </w:rPr>
              <w:t>Documentación incompleta por servicio de limpieza</w:t>
            </w:r>
          </w:p>
        </w:tc>
        <w:tc>
          <w:tcPr>
            <w:tcW w:w="3118" w:type="dxa"/>
          </w:tcPr>
          <w:p w14:paraId="1442E23B" w14:textId="77777777" w:rsidR="00BE3D4F" w:rsidRPr="0091431F" w:rsidRDefault="00BE3D4F" w:rsidP="00BE3D4F">
            <w:pPr>
              <w:spacing w:line="360" w:lineRule="auto"/>
              <w:jc w:val="both"/>
              <w:rPr>
                <w:rFonts w:ascii="Arial" w:hAnsi="Arial" w:cs="Arial"/>
                <w:sz w:val="18"/>
                <w:szCs w:val="18"/>
              </w:rPr>
            </w:pPr>
            <w:r w:rsidRPr="0091431F">
              <w:rPr>
                <w:rFonts w:ascii="Arial" w:hAnsi="Arial" w:cs="Arial"/>
                <w:sz w:val="18"/>
                <w:szCs w:val="18"/>
              </w:rPr>
              <w:t>(1C) Falta de autorización o justificación de las erogaciones</w:t>
            </w:r>
          </w:p>
        </w:tc>
        <w:tc>
          <w:tcPr>
            <w:tcW w:w="1940" w:type="dxa"/>
          </w:tcPr>
          <w:p w14:paraId="2AC30EBD" w14:textId="77777777" w:rsidR="00E10C41" w:rsidRDefault="00E10C41" w:rsidP="00E10C41">
            <w:pPr>
              <w:spacing w:line="360" w:lineRule="auto"/>
              <w:jc w:val="right"/>
              <w:rPr>
                <w:rFonts w:ascii="Arial" w:hAnsi="Arial" w:cs="Arial"/>
                <w:sz w:val="18"/>
                <w:szCs w:val="18"/>
                <w:lang w:eastAsia="es-MX"/>
              </w:rPr>
            </w:pPr>
            <w:r>
              <w:rPr>
                <w:rFonts w:ascii="Arial" w:hAnsi="Arial" w:cs="Arial"/>
                <w:sz w:val="18"/>
                <w:szCs w:val="18"/>
                <w:lang w:eastAsia="es-MX"/>
              </w:rPr>
              <w:t>Solventado</w:t>
            </w:r>
          </w:p>
          <w:p w14:paraId="0BF1E113" w14:textId="7B39DF53" w:rsidR="00BE3D4F" w:rsidRPr="0091431F" w:rsidRDefault="00FB4107" w:rsidP="00FB4107">
            <w:pPr>
              <w:spacing w:line="360" w:lineRule="auto"/>
              <w:jc w:val="right"/>
              <w:rPr>
                <w:rFonts w:ascii="Arial" w:hAnsi="Arial" w:cs="Arial"/>
                <w:sz w:val="18"/>
                <w:szCs w:val="18"/>
              </w:rPr>
            </w:pPr>
            <w:r>
              <w:rPr>
                <w:rFonts w:ascii="Arial" w:hAnsi="Arial" w:cs="Arial"/>
                <w:sz w:val="18"/>
                <w:szCs w:val="18"/>
              </w:rPr>
              <w:t>24,246.32</w:t>
            </w:r>
          </w:p>
        </w:tc>
      </w:tr>
      <w:tr w:rsidR="00BE3D4F" w:rsidRPr="0091431F" w14:paraId="5048C892" w14:textId="59544C60" w:rsidTr="00E9544F">
        <w:trPr>
          <w:jc w:val="center"/>
        </w:trPr>
        <w:tc>
          <w:tcPr>
            <w:tcW w:w="1556" w:type="dxa"/>
          </w:tcPr>
          <w:p w14:paraId="0AEADB2F" w14:textId="77777777" w:rsidR="00BE3D4F" w:rsidRPr="0091431F" w:rsidRDefault="00BE3D4F" w:rsidP="00BE3D4F">
            <w:pPr>
              <w:spacing w:line="360" w:lineRule="auto"/>
              <w:jc w:val="left"/>
              <w:rPr>
                <w:rFonts w:ascii="Arial" w:hAnsi="Arial" w:cs="Arial"/>
                <w:sz w:val="18"/>
                <w:szCs w:val="18"/>
              </w:rPr>
            </w:pPr>
            <w:r w:rsidRPr="0091431F">
              <w:rPr>
                <w:rFonts w:ascii="Arial" w:hAnsi="Arial" w:cs="Arial"/>
                <w:sz w:val="18"/>
                <w:szCs w:val="18"/>
              </w:rPr>
              <w:t>Resultado: 9</w:t>
            </w:r>
          </w:p>
          <w:p w14:paraId="6EE74DFF" w14:textId="77777777" w:rsidR="00BE3D4F" w:rsidRPr="0091431F" w:rsidRDefault="00BE3D4F" w:rsidP="00BE3D4F">
            <w:pPr>
              <w:spacing w:line="360" w:lineRule="auto"/>
              <w:jc w:val="left"/>
              <w:rPr>
                <w:rFonts w:ascii="Arial" w:hAnsi="Arial" w:cs="Arial"/>
                <w:sz w:val="18"/>
                <w:szCs w:val="18"/>
              </w:rPr>
            </w:pPr>
            <w:r w:rsidRPr="0091431F">
              <w:rPr>
                <w:rFonts w:ascii="Arial" w:hAnsi="Arial" w:cs="Arial"/>
                <w:sz w:val="18"/>
                <w:szCs w:val="18"/>
              </w:rPr>
              <w:t>Observación: 10</w:t>
            </w:r>
          </w:p>
        </w:tc>
        <w:tc>
          <w:tcPr>
            <w:tcW w:w="2834" w:type="dxa"/>
          </w:tcPr>
          <w:p w14:paraId="3AA82B1F" w14:textId="77777777" w:rsidR="00BE3D4F" w:rsidRPr="0091431F" w:rsidRDefault="00BE3D4F" w:rsidP="00BE3D4F">
            <w:pPr>
              <w:spacing w:line="360" w:lineRule="auto"/>
              <w:jc w:val="both"/>
              <w:rPr>
                <w:rFonts w:ascii="Arial" w:hAnsi="Arial" w:cs="Arial"/>
                <w:sz w:val="18"/>
                <w:szCs w:val="18"/>
                <w:lang w:eastAsia="es-MX"/>
              </w:rPr>
            </w:pPr>
            <w:r w:rsidRPr="0091431F">
              <w:rPr>
                <w:rFonts w:ascii="Arial" w:hAnsi="Arial" w:cs="Arial"/>
                <w:sz w:val="18"/>
                <w:szCs w:val="18"/>
              </w:rPr>
              <w:t>CFDI cancelados por adquisición de material por la contingencia Covid-19</w:t>
            </w:r>
          </w:p>
        </w:tc>
        <w:tc>
          <w:tcPr>
            <w:tcW w:w="3118" w:type="dxa"/>
          </w:tcPr>
          <w:p w14:paraId="608B04EC" w14:textId="77777777" w:rsidR="00BE3D4F" w:rsidRPr="0091431F" w:rsidRDefault="00BE3D4F" w:rsidP="00BE3D4F">
            <w:pPr>
              <w:spacing w:line="360" w:lineRule="auto"/>
              <w:jc w:val="both"/>
              <w:rPr>
                <w:rFonts w:ascii="Arial" w:hAnsi="Arial" w:cs="Arial"/>
                <w:sz w:val="18"/>
                <w:szCs w:val="18"/>
              </w:rPr>
            </w:pPr>
            <w:r w:rsidRPr="0091431F">
              <w:rPr>
                <w:rFonts w:ascii="Arial" w:hAnsi="Arial" w:cs="Arial"/>
                <w:sz w:val="18"/>
                <w:szCs w:val="18"/>
              </w:rPr>
              <w:t>(1B) Falta de documentación comprobatoria de las erogaciones o que no reúne requisitos</w:t>
            </w:r>
          </w:p>
        </w:tc>
        <w:tc>
          <w:tcPr>
            <w:tcW w:w="1940" w:type="dxa"/>
          </w:tcPr>
          <w:p w14:paraId="3C1EAA3F" w14:textId="77777777" w:rsidR="00E10C41" w:rsidRDefault="00E10C41" w:rsidP="00E10C41">
            <w:pPr>
              <w:spacing w:line="360" w:lineRule="auto"/>
              <w:jc w:val="right"/>
              <w:rPr>
                <w:rFonts w:ascii="Arial" w:hAnsi="Arial" w:cs="Arial"/>
                <w:sz w:val="18"/>
                <w:szCs w:val="18"/>
                <w:lang w:eastAsia="es-MX"/>
              </w:rPr>
            </w:pPr>
            <w:r>
              <w:rPr>
                <w:rFonts w:ascii="Arial" w:hAnsi="Arial" w:cs="Arial"/>
                <w:sz w:val="18"/>
                <w:szCs w:val="18"/>
                <w:lang w:eastAsia="es-MX"/>
              </w:rPr>
              <w:t>Solventado</w:t>
            </w:r>
          </w:p>
          <w:p w14:paraId="1BF35323" w14:textId="77777777" w:rsidR="00BE3D4F" w:rsidRDefault="00FB4107" w:rsidP="00FB4107">
            <w:pPr>
              <w:spacing w:line="360" w:lineRule="auto"/>
              <w:jc w:val="right"/>
              <w:rPr>
                <w:rFonts w:ascii="Arial" w:hAnsi="Arial" w:cs="Arial"/>
                <w:sz w:val="18"/>
                <w:szCs w:val="18"/>
              </w:rPr>
            </w:pPr>
            <w:r>
              <w:rPr>
                <w:rFonts w:ascii="Arial" w:hAnsi="Arial" w:cs="Arial"/>
                <w:sz w:val="18"/>
                <w:szCs w:val="18"/>
              </w:rPr>
              <w:t>49,901.49</w:t>
            </w:r>
          </w:p>
          <w:p w14:paraId="1202DABD" w14:textId="73C54CC0" w:rsidR="00E10C41" w:rsidRPr="0091431F" w:rsidRDefault="00E10C41" w:rsidP="00FB4107">
            <w:pPr>
              <w:spacing w:line="360" w:lineRule="auto"/>
              <w:jc w:val="right"/>
              <w:rPr>
                <w:rFonts w:ascii="Arial" w:hAnsi="Arial" w:cs="Arial"/>
                <w:sz w:val="18"/>
                <w:szCs w:val="18"/>
              </w:rPr>
            </w:pPr>
            <w:r>
              <w:rPr>
                <w:rFonts w:ascii="Arial" w:hAnsi="Arial" w:cs="Arial"/>
                <w:sz w:val="18"/>
                <w:szCs w:val="18"/>
              </w:rPr>
              <w:t>Recomendación</w:t>
            </w:r>
          </w:p>
        </w:tc>
      </w:tr>
      <w:tr w:rsidR="00BE3D4F" w:rsidRPr="0091431F" w14:paraId="7223E509" w14:textId="128E52AA" w:rsidTr="00E9544F">
        <w:trPr>
          <w:jc w:val="center"/>
        </w:trPr>
        <w:tc>
          <w:tcPr>
            <w:tcW w:w="1556" w:type="dxa"/>
          </w:tcPr>
          <w:p w14:paraId="13436607" w14:textId="77777777" w:rsidR="00BE3D4F" w:rsidRPr="0091431F" w:rsidRDefault="00BE3D4F" w:rsidP="00BE3D4F">
            <w:pPr>
              <w:spacing w:line="360" w:lineRule="auto"/>
              <w:jc w:val="left"/>
              <w:rPr>
                <w:rFonts w:ascii="Arial" w:hAnsi="Arial" w:cs="Arial"/>
                <w:sz w:val="18"/>
                <w:szCs w:val="18"/>
              </w:rPr>
            </w:pPr>
            <w:r w:rsidRPr="0091431F">
              <w:rPr>
                <w:rFonts w:ascii="Arial" w:hAnsi="Arial" w:cs="Arial"/>
                <w:sz w:val="18"/>
                <w:szCs w:val="18"/>
              </w:rPr>
              <w:t>Resultado: 10</w:t>
            </w:r>
          </w:p>
          <w:p w14:paraId="1BADDDFB" w14:textId="77777777" w:rsidR="00BE3D4F" w:rsidRPr="0091431F" w:rsidRDefault="00BE3D4F" w:rsidP="00BE3D4F">
            <w:pPr>
              <w:spacing w:line="360" w:lineRule="auto"/>
              <w:jc w:val="left"/>
              <w:rPr>
                <w:rFonts w:ascii="Arial" w:hAnsi="Arial" w:cs="Arial"/>
                <w:sz w:val="18"/>
                <w:szCs w:val="18"/>
              </w:rPr>
            </w:pPr>
            <w:r w:rsidRPr="0091431F">
              <w:rPr>
                <w:rFonts w:ascii="Arial" w:hAnsi="Arial" w:cs="Arial"/>
                <w:sz w:val="18"/>
                <w:szCs w:val="18"/>
              </w:rPr>
              <w:t>Observación: 11</w:t>
            </w:r>
          </w:p>
        </w:tc>
        <w:tc>
          <w:tcPr>
            <w:tcW w:w="2834" w:type="dxa"/>
          </w:tcPr>
          <w:p w14:paraId="7829ABF0" w14:textId="77777777" w:rsidR="00BE3D4F" w:rsidRPr="0091431F" w:rsidRDefault="00BE3D4F" w:rsidP="00BE3D4F">
            <w:pPr>
              <w:spacing w:line="360" w:lineRule="auto"/>
              <w:jc w:val="both"/>
              <w:rPr>
                <w:rFonts w:ascii="Arial" w:hAnsi="Arial" w:cs="Arial"/>
                <w:sz w:val="18"/>
                <w:szCs w:val="18"/>
                <w:lang w:eastAsia="es-MX"/>
              </w:rPr>
            </w:pPr>
            <w:r w:rsidRPr="0091431F">
              <w:rPr>
                <w:rFonts w:ascii="Arial" w:hAnsi="Arial" w:cs="Arial"/>
                <w:sz w:val="18"/>
                <w:szCs w:val="18"/>
              </w:rPr>
              <w:t>Documentación incompleta por contratación de servicios informáticos</w:t>
            </w:r>
          </w:p>
        </w:tc>
        <w:tc>
          <w:tcPr>
            <w:tcW w:w="3118" w:type="dxa"/>
          </w:tcPr>
          <w:p w14:paraId="71B61A82" w14:textId="77777777" w:rsidR="00BE3D4F" w:rsidRPr="0091431F" w:rsidRDefault="00BE3D4F" w:rsidP="00BE3D4F">
            <w:pPr>
              <w:spacing w:line="360" w:lineRule="auto"/>
              <w:jc w:val="both"/>
              <w:rPr>
                <w:rFonts w:ascii="Arial" w:hAnsi="Arial" w:cs="Arial"/>
                <w:sz w:val="18"/>
                <w:szCs w:val="18"/>
              </w:rPr>
            </w:pPr>
            <w:r w:rsidRPr="0091431F">
              <w:rPr>
                <w:rFonts w:ascii="Arial" w:hAnsi="Arial" w:cs="Arial"/>
                <w:sz w:val="18"/>
                <w:szCs w:val="18"/>
              </w:rPr>
              <w:t>(1F) Falta de documentación comprobatoria y justificativa de las erogaciones</w:t>
            </w:r>
          </w:p>
        </w:tc>
        <w:tc>
          <w:tcPr>
            <w:tcW w:w="1940" w:type="dxa"/>
            <w:tcBorders>
              <w:bottom w:val="single" w:sz="4" w:space="0" w:color="auto"/>
            </w:tcBorders>
          </w:tcPr>
          <w:p w14:paraId="7EEDEAA0" w14:textId="633B4B54" w:rsidR="00E10C41" w:rsidRDefault="00CD12C7" w:rsidP="00FB4107">
            <w:pPr>
              <w:spacing w:line="360" w:lineRule="auto"/>
              <w:jc w:val="right"/>
              <w:rPr>
                <w:rFonts w:ascii="Arial" w:hAnsi="Arial" w:cs="Arial"/>
                <w:sz w:val="18"/>
                <w:szCs w:val="18"/>
              </w:rPr>
            </w:pPr>
            <w:r>
              <w:rPr>
                <w:rFonts w:ascii="Arial" w:hAnsi="Arial" w:cs="Arial"/>
                <w:sz w:val="18"/>
                <w:szCs w:val="18"/>
              </w:rPr>
              <w:t>S</w:t>
            </w:r>
            <w:r w:rsidR="00E10C41">
              <w:rPr>
                <w:rFonts w:ascii="Arial" w:hAnsi="Arial" w:cs="Arial"/>
                <w:sz w:val="18"/>
                <w:szCs w:val="18"/>
              </w:rPr>
              <w:t xml:space="preserve">olventado </w:t>
            </w:r>
          </w:p>
          <w:p w14:paraId="489D1A4E" w14:textId="77777777" w:rsidR="00FB4107" w:rsidRDefault="00FB4107" w:rsidP="00FB4107">
            <w:pPr>
              <w:spacing w:line="360" w:lineRule="auto"/>
              <w:jc w:val="right"/>
              <w:rPr>
                <w:rFonts w:ascii="Arial" w:hAnsi="Arial" w:cs="Arial"/>
                <w:sz w:val="18"/>
                <w:szCs w:val="18"/>
              </w:rPr>
            </w:pPr>
            <w:r>
              <w:rPr>
                <w:rFonts w:ascii="Arial" w:hAnsi="Arial" w:cs="Arial"/>
                <w:sz w:val="18"/>
                <w:szCs w:val="18"/>
              </w:rPr>
              <w:t>227,804.00</w:t>
            </w:r>
          </w:p>
          <w:p w14:paraId="7905FA9A" w14:textId="5D822755" w:rsidR="00CD12C7" w:rsidRPr="0091431F" w:rsidRDefault="00CD12C7" w:rsidP="00FB4107">
            <w:pPr>
              <w:spacing w:line="360" w:lineRule="auto"/>
              <w:jc w:val="right"/>
              <w:rPr>
                <w:rFonts w:ascii="Arial" w:hAnsi="Arial" w:cs="Arial"/>
                <w:sz w:val="18"/>
                <w:szCs w:val="18"/>
              </w:rPr>
            </w:pPr>
            <w:r>
              <w:rPr>
                <w:rFonts w:ascii="Arial" w:hAnsi="Arial" w:cs="Arial"/>
                <w:sz w:val="18"/>
                <w:szCs w:val="18"/>
              </w:rPr>
              <w:t>Recomendación</w:t>
            </w:r>
          </w:p>
        </w:tc>
      </w:tr>
      <w:tr w:rsidR="00FB4107" w:rsidRPr="0091431F" w14:paraId="13E4679C" w14:textId="77777777" w:rsidTr="00E9544F">
        <w:trPr>
          <w:jc w:val="center"/>
        </w:trPr>
        <w:tc>
          <w:tcPr>
            <w:tcW w:w="1556" w:type="dxa"/>
          </w:tcPr>
          <w:p w14:paraId="519728CC" w14:textId="77777777" w:rsidR="00FB4107" w:rsidRPr="0091431F" w:rsidRDefault="00FB4107" w:rsidP="00BE3D4F">
            <w:pPr>
              <w:spacing w:line="360" w:lineRule="auto"/>
              <w:rPr>
                <w:rFonts w:ascii="Arial" w:hAnsi="Arial" w:cs="Arial"/>
                <w:sz w:val="18"/>
                <w:szCs w:val="18"/>
              </w:rPr>
            </w:pPr>
          </w:p>
        </w:tc>
        <w:tc>
          <w:tcPr>
            <w:tcW w:w="2834" w:type="dxa"/>
          </w:tcPr>
          <w:p w14:paraId="2F04EE1B" w14:textId="77777777" w:rsidR="00FB4107" w:rsidRPr="0091431F" w:rsidRDefault="00FB4107" w:rsidP="00BE3D4F">
            <w:pPr>
              <w:spacing w:line="360" w:lineRule="auto"/>
              <w:jc w:val="both"/>
              <w:rPr>
                <w:rFonts w:ascii="Arial" w:hAnsi="Arial" w:cs="Arial"/>
                <w:sz w:val="18"/>
                <w:szCs w:val="18"/>
              </w:rPr>
            </w:pPr>
          </w:p>
        </w:tc>
        <w:tc>
          <w:tcPr>
            <w:tcW w:w="3118" w:type="dxa"/>
          </w:tcPr>
          <w:p w14:paraId="6B2F4D09" w14:textId="1F0FD21B" w:rsidR="00FB4107" w:rsidRPr="00FB4107" w:rsidRDefault="00FB4107" w:rsidP="00FB4107">
            <w:pPr>
              <w:spacing w:line="360" w:lineRule="auto"/>
              <w:jc w:val="right"/>
              <w:rPr>
                <w:rFonts w:ascii="Arial" w:hAnsi="Arial" w:cs="Arial"/>
                <w:b/>
                <w:sz w:val="18"/>
                <w:szCs w:val="18"/>
              </w:rPr>
            </w:pPr>
            <w:r w:rsidRPr="00FB4107">
              <w:rPr>
                <w:rFonts w:ascii="Arial" w:hAnsi="Arial" w:cs="Arial"/>
                <w:b/>
                <w:sz w:val="18"/>
                <w:szCs w:val="18"/>
              </w:rPr>
              <w:t>Total</w:t>
            </w:r>
          </w:p>
        </w:tc>
        <w:tc>
          <w:tcPr>
            <w:tcW w:w="1940" w:type="dxa"/>
            <w:tcBorders>
              <w:top w:val="single" w:sz="4" w:space="0" w:color="auto"/>
              <w:bottom w:val="double" w:sz="4" w:space="0" w:color="auto"/>
            </w:tcBorders>
          </w:tcPr>
          <w:p w14:paraId="10AB3A33" w14:textId="759C5DC9" w:rsidR="00FB4107" w:rsidRPr="00FB4107" w:rsidRDefault="00FB4107" w:rsidP="00FB4107">
            <w:pPr>
              <w:spacing w:line="360" w:lineRule="auto"/>
              <w:jc w:val="right"/>
              <w:rPr>
                <w:rFonts w:ascii="Arial" w:hAnsi="Arial" w:cs="Arial"/>
                <w:b/>
                <w:sz w:val="18"/>
                <w:szCs w:val="18"/>
              </w:rPr>
            </w:pPr>
            <w:r>
              <w:rPr>
                <w:rFonts w:ascii="Arial" w:hAnsi="Arial" w:cs="Arial"/>
                <w:b/>
                <w:sz w:val="18"/>
                <w:szCs w:val="18"/>
              </w:rPr>
              <w:t>$1,337,220.64</w:t>
            </w:r>
          </w:p>
        </w:tc>
      </w:tr>
    </w:tbl>
    <w:p w14:paraId="5C2FD4B6" w14:textId="07D53D88" w:rsidR="00BE3D4F" w:rsidRDefault="00BE3D4F" w:rsidP="00A623C4">
      <w:pPr>
        <w:spacing w:line="360" w:lineRule="auto"/>
        <w:jc w:val="both"/>
        <w:rPr>
          <w:rFonts w:ascii="Arial" w:hAnsi="Arial" w:cs="Arial"/>
          <w:b/>
          <w:bCs/>
        </w:rPr>
      </w:pPr>
    </w:p>
    <w:p w14:paraId="5F36A17D" w14:textId="77777777" w:rsidR="00A623C4" w:rsidRPr="00761FA3" w:rsidRDefault="00A623C4" w:rsidP="00A623C4">
      <w:pPr>
        <w:spacing w:line="360" w:lineRule="auto"/>
        <w:ind w:right="141"/>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14:paraId="4DDE1758" w14:textId="77777777" w:rsidR="00A623C4" w:rsidRPr="00995A30" w:rsidRDefault="00A623C4" w:rsidP="00A623C4">
      <w:pPr>
        <w:spacing w:line="276" w:lineRule="auto"/>
        <w:ind w:right="190"/>
        <w:jc w:val="both"/>
        <w:rPr>
          <w:rFonts w:ascii="Arial" w:hAnsi="Arial" w:cs="Arial"/>
          <w:b/>
          <w:sz w:val="16"/>
          <w:szCs w:val="16"/>
        </w:rPr>
      </w:pPr>
    </w:p>
    <w:p w14:paraId="5C326A20" w14:textId="1E1CCCBA" w:rsidR="00A623C4" w:rsidRDefault="00A623C4" w:rsidP="00A623C4">
      <w:pPr>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51E6C2C0" w14:textId="77777777" w:rsidR="00F62919" w:rsidRDefault="00F62919" w:rsidP="00A623C4">
      <w:pPr>
        <w:spacing w:line="360" w:lineRule="auto"/>
        <w:ind w:right="141"/>
        <w:jc w:val="both"/>
        <w:rPr>
          <w:rFonts w:ascii="Arial" w:hAnsi="Arial" w:cs="Arial"/>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701"/>
        <w:gridCol w:w="1559"/>
        <w:gridCol w:w="24"/>
        <w:gridCol w:w="1643"/>
      </w:tblGrid>
      <w:tr w:rsidR="00A623C4" w:rsidRPr="00E9544F" w14:paraId="36B22A0A" w14:textId="77777777" w:rsidTr="00FE4DDA">
        <w:trPr>
          <w:trHeight w:val="313"/>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4CAE4A3" w14:textId="77777777" w:rsidR="00A623C4" w:rsidRPr="00E9544F" w:rsidRDefault="00A623C4" w:rsidP="00024164">
            <w:pPr>
              <w:spacing w:line="276" w:lineRule="auto"/>
              <w:ind w:right="49"/>
              <w:jc w:val="center"/>
              <w:rPr>
                <w:rFonts w:ascii="Arial" w:hAnsi="Arial" w:cs="Arial"/>
                <w:b/>
                <w:sz w:val="18"/>
                <w:szCs w:val="18"/>
              </w:rPr>
            </w:pPr>
            <w:r w:rsidRPr="00E9544F">
              <w:rPr>
                <w:rFonts w:ascii="Arial" w:hAnsi="Arial" w:cs="Arial"/>
                <w:b/>
                <w:sz w:val="18"/>
                <w:szCs w:val="18"/>
              </w:rPr>
              <w:t>Resumen General de Observaciones y Solventaciones en Materia Financiera</w:t>
            </w:r>
          </w:p>
        </w:tc>
      </w:tr>
      <w:tr w:rsidR="00A623C4" w:rsidRPr="00E9544F" w14:paraId="3BCBF825" w14:textId="77777777" w:rsidTr="00FE4DDA">
        <w:trPr>
          <w:trHeight w:val="275"/>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C039FE4" w14:textId="77777777" w:rsidR="00A623C4" w:rsidRPr="00E9544F" w:rsidRDefault="00A623C4" w:rsidP="00024164">
            <w:pPr>
              <w:spacing w:line="276" w:lineRule="auto"/>
              <w:ind w:right="49"/>
              <w:jc w:val="center"/>
              <w:rPr>
                <w:rFonts w:ascii="Arial" w:hAnsi="Arial" w:cs="Arial"/>
                <w:b/>
                <w:sz w:val="18"/>
                <w:szCs w:val="18"/>
              </w:rPr>
            </w:pPr>
            <w:r w:rsidRPr="00E9544F">
              <w:rPr>
                <w:rFonts w:ascii="Arial" w:hAnsi="Arial" w:cs="Arial"/>
                <w:b/>
                <w:sz w:val="18"/>
                <w:szCs w:val="18"/>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219DAFF" w14:textId="77777777" w:rsidR="00A623C4" w:rsidRPr="00E9544F" w:rsidRDefault="00A623C4" w:rsidP="00024164">
            <w:pPr>
              <w:spacing w:line="276" w:lineRule="auto"/>
              <w:ind w:right="49"/>
              <w:jc w:val="center"/>
              <w:rPr>
                <w:rFonts w:ascii="Arial" w:hAnsi="Arial" w:cs="Arial"/>
                <w:b/>
                <w:sz w:val="18"/>
                <w:szCs w:val="18"/>
              </w:rPr>
            </w:pPr>
            <w:r w:rsidRPr="00E9544F">
              <w:rPr>
                <w:rFonts w:ascii="Arial" w:hAnsi="Arial" w:cs="Arial"/>
                <w:b/>
                <w:sz w:val="18"/>
                <w:szCs w:val="18"/>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F35B81" w14:textId="77777777" w:rsidR="00A623C4" w:rsidRPr="00E9544F" w:rsidRDefault="00A623C4" w:rsidP="00024164">
            <w:pPr>
              <w:spacing w:line="276" w:lineRule="auto"/>
              <w:ind w:right="49"/>
              <w:jc w:val="center"/>
              <w:rPr>
                <w:rFonts w:ascii="Arial" w:hAnsi="Arial" w:cs="Arial"/>
                <w:b/>
                <w:sz w:val="18"/>
                <w:szCs w:val="18"/>
              </w:rPr>
            </w:pPr>
            <w:r w:rsidRPr="00E9544F">
              <w:rPr>
                <w:rFonts w:ascii="Arial" w:hAnsi="Arial" w:cs="Arial"/>
                <w:b/>
                <w:sz w:val="18"/>
                <w:szCs w:val="18"/>
              </w:rPr>
              <w:t>Modalidades de Solventación</w:t>
            </w: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0A28CC" w14:textId="77777777" w:rsidR="00A623C4" w:rsidRPr="00E9544F" w:rsidRDefault="00A623C4" w:rsidP="00024164">
            <w:pPr>
              <w:spacing w:line="276" w:lineRule="auto"/>
              <w:ind w:right="49"/>
              <w:jc w:val="center"/>
              <w:rPr>
                <w:rFonts w:ascii="Arial" w:hAnsi="Arial" w:cs="Arial"/>
                <w:b/>
                <w:sz w:val="18"/>
                <w:szCs w:val="18"/>
              </w:rPr>
            </w:pPr>
            <w:r w:rsidRPr="00E9544F">
              <w:rPr>
                <w:rFonts w:ascii="Arial" w:hAnsi="Arial" w:cs="Arial"/>
                <w:b/>
                <w:sz w:val="18"/>
                <w:szCs w:val="18"/>
              </w:rPr>
              <w:t>Pendiente de Solventar</w:t>
            </w:r>
          </w:p>
        </w:tc>
      </w:tr>
      <w:tr w:rsidR="00A623C4" w:rsidRPr="00E9544F" w14:paraId="06BC53A1" w14:textId="77777777" w:rsidTr="00FE4DDA">
        <w:trPr>
          <w:trHeight w:val="211"/>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AFB7BB6" w14:textId="77777777" w:rsidR="00A623C4" w:rsidRPr="00E9544F" w:rsidRDefault="00A623C4" w:rsidP="00024164">
            <w:pPr>
              <w:spacing w:line="276" w:lineRule="auto"/>
              <w:ind w:right="49"/>
              <w:jc w:val="center"/>
              <w:rPr>
                <w:rFonts w:ascii="Arial" w:hAnsi="Arial" w:cs="Arial"/>
                <w:b/>
                <w:sz w:val="18"/>
                <w:szCs w:val="18"/>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C5A78B" w14:textId="77777777" w:rsidR="00A623C4" w:rsidRPr="00E9544F" w:rsidRDefault="00A623C4" w:rsidP="00024164">
            <w:pPr>
              <w:spacing w:line="276" w:lineRule="auto"/>
              <w:ind w:right="49"/>
              <w:jc w:val="cente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B962B4" w14:textId="77777777" w:rsidR="00A623C4" w:rsidRPr="00E9544F" w:rsidRDefault="00A623C4" w:rsidP="00024164">
            <w:pPr>
              <w:spacing w:line="276" w:lineRule="auto"/>
              <w:ind w:right="49"/>
              <w:jc w:val="center"/>
              <w:rPr>
                <w:rFonts w:ascii="Arial" w:hAnsi="Arial" w:cs="Arial"/>
                <w:b/>
                <w:sz w:val="18"/>
                <w:szCs w:val="18"/>
              </w:rPr>
            </w:pPr>
            <w:r w:rsidRPr="00E9544F">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40C59C0" w14:textId="77777777" w:rsidR="00A623C4" w:rsidRPr="00E9544F" w:rsidRDefault="00A623C4" w:rsidP="00024164">
            <w:pPr>
              <w:spacing w:line="276" w:lineRule="auto"/>
              <w:ind w:right="49"/>
              <w:jc w:val="center"/>
              <w:rPr>
                <w:rFonts w:ascii="Arial" w:hAnsi="Arial" w:cs="Arial"/>
                <w:b/>
                <w:sz w:val="18"/>
                <w:szCs w:val="18"/>
              </w:rPr>
            </w:pPr>
            <w:r w:rsidRPr="00E9544F">
              <w:rPr>
                <w:rFonts w:ascii="Arial" w:hAnsi="Arial" w:cs="Arial"/>
                <w:b/>
                <w:sz w:val="18"/>
                <w:szCs w:val="18"/>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DBE3BB" w14:textId="77777777" w:rsidR="00A623C4" w:rsidRPr="00E9544F" w:rsidRDefault="00A623C4" w:rsidP="00024164">
            <w:pPr>
              <w:spacing w:line="276" w:lineRule="auto"/>
              <w:ind w:right="49"/>
              <w:jc w:val="center"/>
              <w:rPr>
                <w:rFonts w:ascii="Arial" w:hAnsi="Arial" w:cs="Arial"/>
                <w:b/>
                <w:sz w:val="18"/>
                <w:szCs w:val="18"/>
              </w:rPr>
            </w:pPr>
          </w:p>
        </w:tc>
      </w:tr>
      <w:tr w:rsidR="00A623C4" w:rsidRPr="00E9544F" w14:paraId="449FD787" w14:textId="77777777" w:rsidTr="00FE4DDA">
        <w:trPr>
          <w:trHeight w:val="82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01E1010A" w14:textId="77777777" w:rsidR="00A623C4" w:rsidRPr="00E9544F" w:rsidRDefault="00A623C4" w:rsidP="00FE4DDA">
            <w:pPr>
              <w:spacing w:line="360" w:lineRule="auto"/>
              <w:jc w:val="both"/>
              <w:rPr>
                <w:rFonts w:ascii="Arial" w:hAnsi="Arial" w:cs="Arial"/>
                <w:sz w:val="18"/>
                <w:szCs w:val="18"/>
              </w:rPr>
            </w:pPr>
            <w:r w:rsidRPr="00E9544F">
              <w:rPr>
                <w:rFonts w:ascii="Arial" w:hAnsi="Arial" w:cs="Arial"/>
                <w:sz w:val="18"/>
                <w:szCs w:val="18"/>
              </w:rPr>
              <w:t>(1B) Falta de documentación comprobatoria de las erogaciones o que no reúne requisitos fiscales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2FF17CEE" w14:textId="4B156866" w:rsidR="00A623C4" w:rsidRPr="00E9544F" w:rsidRDefault="00A623C4" w:rsidP="00FE4DDA">
            <w:pPr>
              <w:spacing w:line="360" w:lineRule="auto"/>
              <w:jc w:val="right"/>
              <w:rPr>
                <w:rFonts w:ascii="Arial" w:hAnsi="Arial" w:cs="Arial"/>
                <w:sz w:val="18"/>
                <w:szCs w:val="18"/>
              </w:rPr>
            </w:pPr>
            <w:r w:rsidRPr="00E9544F">
              <w:rPr>
                <w:rFonts w:ascii="Arial" w:hAnsi="Arial" w:cs="Arial"/>
                <w:sz w:val="18"/>
                <w:szCs w:val="18"/>
              </w:rPr>
              <w:t>$</w:t>
            </w:r>
            <w:r w:rsidR="00FE4DDA">
              <w:rPr>
                <w:rFonts w:ascii="Arial" w:hAnsi="Arial" w:cs="Arial"/>
                <w:sz w:val="18"/>
                <w:szCs w:val="18"/>
              </w:rPr>
              <w:t>161,551.49</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5274F4" w14:textId="230A2FCF" w:rsidR="00A623C4" w:rsidRPr="00E9544F" w:rsidRDefault="00A623C4" w:rsidP="00EC4DEC">
            <w:pPr>
              <w:spacing w:line="360" w:lineRule="auto"/>
              <w:jc w:val="right"/>
              <w:rPr>
                <w:rFonts w:ascii="Arial" w:hAnsi="Arial" w:cs="Arial"/>
                <w:sz w:val="18"/>
                <w:szCs w:val="18"/>
              </w:rPr>
            </w:pPr>
            <w:r w:rsidRPr="00E9544F">
              <w:rPr>
                <w:rFonts w:ascii="Arial" w:hAnsi="Arial" w:cs="Arial"/>
                <w:sz w:val="18"/>
                <w:szCs w:val="18"/>
              </w:rPr>
              <w:t>$</w:t>
            </w:r>
            <w:r w:rsidR="00EC4DEC">
              <w:rPr>
                <w:rFonts w:ascii="Arial" w:hAnsi="Arial" w:cs="Arial"/>
                <w:sz w:val="18"/>
                <w:szCs w:val="18"/>
              </w:rPr>
              <w:t>161,551.49</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5D91DB" w14:textId="11492070" w:rsidR="00A623C4" w:rsidRPr="00E9544F" w:rsidRDefault="00106C51" w:rsidP="00024164">
            <w:pPr>
              <w:spacing w:line="360" w:lineRule="auto"/>
              <w:jc w:val="right"/>
              <w:rPr>
                <w:rFonts w:ascii="Arial" w:hAnsi="Arial" w:cs="Arial"/>
                <w:sz w:val="18"/>
                <w:szCs w:val="18"/>
              </w:rPr>
            </w:pPr>
            <w:r>
              <w:rPr>
                <w:rFonts w:ascii="Arial" w:hAnsi="Arial" w:cs="Arial"/>
                <w:sz w:val="18"/>
                <w:szCs w:val="18"/>
              </w:rPr>
              <w:t>$</w:t>
            </w:r>
            <w:r w:rsidR="00A623C4" w:rsidRPr="00E9544F">
              <w:rPr>
                <w:rFonts w:ascii="Arial" w:hAnsi="Arial" w:cs="Arial"/>
                <w:sz w:val="18"/>
                <w:szCs w:val="18"/>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B13089" w14:textId="7E132E63" w:rsidR="00A623C4" w:rsidRPr="00E9544F" w:rsidRDefault="00A623C4" w:rsidP="00FE4DDA">
            <w:pPr>
              <w:spacing w:line="360" w:lineRule="auto"/>
              <w:jc w:val="right"/>
              <w:rPr>
                <w:rFonts w:ascii="Arial" w:hAnsi="Arial" w:cs="Arial"/>
                <w:sz w:val="18"/>
                <w:szCs w:val="18"/>
              </w:rPr>
            </w:pPr>
            <w:r w:rsidRPr="00E9544F">
              <w:rPr>
                <w:rFonts w:ascii="Arial" w:hAnsi="Arial" w:cs="Arial"/>
                <w:sz w:val="18"/>
                <w:szCs w:val="18"/>
              </w:rPr>
              <w:t>$0.00</w:t>
            </w:r>
          </w:p>
        </w:tc>
      </w:tr>
      <w:tr w:rsidR="00A623C4" w:rsidRPr="00E9544F" w14:paraId="64B837F4" w14:textId="77777777" w:rsidTr="00FE4DDA">
        <w:trPr>
          <w:trHeight w:val="638"/>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1A88ACFF" w14:textId="20BF99E5" w:rsidR="00A623C4" w:rsidRPr="00E9544F" w:rsidRDefault="00B23523" w:rsidP="00FE4DDA">
            <w:pPr>
              <w:spacing w:line="360" w:lineRule="auto"/>
              <w:jc w:val="both"/>
              <w:rPr>
                <w:rFonts w:ascii="Arial" w:hAnsi="Arial" w:cs="Arial"/>
                <w:sz w:val="18"/>
                <w:szCs w:val="18"/>
              </w:rPr>
            </w:pPr>
            <w:r w:rsidRPr="00E9544F">
              <w:rPr>
                <w:rFonts w:ascii="Arial" w:hAnsi="Arial" w:cs="Arial"/>
                <w:sz w:val="18"/>
                <w:szCs w:val="18"/>
              </w:rPr>
              <w:t xml:space="preserve">(1C) </w:t>
            </w:r>
            <w:r w:rsidRPr="00E9544F">
              <w:rPr>
                <w:rFonts w:ascii="Arial" w:hAnsi="Arial" w:cs="Arial"/>
                <w:color w:val="000000"/>
                <w:sz w:val="18"/>
                <w:szCs w:val="18"/>
                <w:lang w:eastAsia="es-MX"/>
              </w:rPr>
              <w:t>Falta de autorización o justificación de las erogaciones</w:t>
            </w:r>
          </w:p>
        </w:tc>
        <w:tc>
          <w:tcPr>
            <w:tcW w:w="1701" w:type="dxa"/>
            <w:tcBorders>
              <w:top w:val="single" w:sz="4" w:space="0" w:color="D9D9D9" w:themeColor="background1" w:themeShade="D9"/>
              <w:left w:val="nil"/>
              <w:bottom w:val="single" w:sz="4" w:space="0" w:color="BFBFBF" w:themeColor="background1" w:themeShade="BF"/>
              <w:right w:val="single" w:sz="4" w:space="0" w:color="D9D9D9" w:themeColor="background1" w:themeShade="D9"/>
            </w:tcBorders>
            <w:shd w:val="clear" w:color="auto" w:fill="auto"/>
          </w:tcPr>
          <w:p w14:paraId="08617AF2" w14:textId="52B18CCE" w:rsidR="00A623C4" w:rsidRPr="00E9544F" w:rsidRDefault="00FE4DDA" w:rsidP="00024164">
            <w:pPr>
              <w:spacing w:line="360" w:lineRule="auto"/>
              <w:jc w:val="right"/>
              <w:rPr>
                <w:rFonts w:ascii="Arial" w:hAnsi="Arial" w:cs="Arial"/>
                <w:sz w:val="18"/>
                <w:szCs w:val="18"/>
              </w:rPr>
            </w:pPr>
            <w:r>
              <w:rPr>
                <w:rFonts w:ascii="Arial" w:hAnsi="Arial" w:cs="Arial"/>
                <w:sz w:val="18"/>
                <w:szCs w:val="18"/>
              </w:rPr>
              <w:t>261,210.20</w:t>
            </w:r>
          </w:p>
        </w:tc>
        <w:tc>
          <w:tcPr>
            <w:tcW w:w="1701"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1EB65442" w14:textId="1F6C306E" w:rsidR="00A623C4" w:rsidRPr="00E9544F" w:rsidRDefault="00EC4DEC" w:rsidP="00024164">
            <w:pPr>
              <w:spacing w:line="360" w:lineRule="auto"/>
              <w:jc w:val="right"/>
              <w:rPr>
                <w:rFonts w:ascii="Arial" w:hAnsi="Arial" w:cs="Arial"/>
                <w:sz w:val="18"/>
                <w:szCs w:val="18"/>
              </w:rPr>
            </w:pPr>
            <w:r>
              <w:rPr>
                <w:rFonts w:ascii="Arial" w:hAnsi="Arial" w:cs="Arial"/>
                <w:sz w:val="18"/>
                <w:szCs w:val="18"/>
              </w:rPr>
              <w:t>261,210.20</w:t>
            </w:r>
          </w:p>
        </w:tc>
        <w:tc>
          <w:tcPr>
            <w:tcW w:w="155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53CB203F" w14:textId="77777777" w:rsidR="00A623C4" w:rsidRPr="00E9544F" w:rsidRDefault="00A623C4" w:rsidP="00024164">
            <w:pPr>
              <w:spacing w:line="360" w:lineRule="auto"/>
              <w:jc w:val="right"/>
              <w:rPr>
                <w:rFonts w:ascii="Arial" w:hAnsi="Arial" w:cs="Arial"/>
                <w:sz w:val="18"/>
                <w:szCs w:val="18"/>
              </w:rPr>
            </w:pPr>
            <w:r w:rsidRPr="00E9544F">
              <w:rPr>
                <w:rFonts w:ascii="Arial" w:hAnsi="Arial" w:cs="Arial"/>
                <w:sz w:val="18"/>
                <w:szCs w:val="18"/>
              </w:rPr>
              <w:t>0.00</w:t>
            </w:r>
          </w:p>
        </w:tc>
        <w:tc>
          <w:tcPr>
            <w:tcW w:w="1667" w:type="dxa"/>
            <w:gridSpan w:val="2"/>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32A0FA89" w14:textId="77777777" w:rsidR="00A623C4" w:rsidRPr="00E9544F" w:rsidRDefault="00A623C4" w:rsidP="00024164">
            <w:pPr>
              <w:spacing w:line="360" w:lineRule="auto"/>
              <w:jc w:val="right"/>
              <w:rPr>
                <w:rFonts w:ascii="Arial" w:hAnsi="Arial" w:cs="Arial"/>
                <w:sz w:val="18"/>
                <w:szCs w:val="18"/>
              </w:rPr>
            </w:pPr>
            <w:r w:rsidRPr="00E9544F">
              <w:rPr>
                <w:rFonts w:ascii="Arial" w:hAnsi="Arial" w:cs="Arial"/>
                <w:sz w:val="18"/>
                <w:szCs w:val="18"/>
              </w:rPr>
              <w:t>0.00</w:t>
            </w:r>
          </w:p>
        </w:tc>
      </w:tr>
      <w:tr w:rsidR="00B23523" w:rsidRPr="00E9544F" w14:paraId="44042840" w14:textId="77777777" w:rsidTr="00FE4DDA">
        <w:trPr>
          <w:trHeight w:val="81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29B4F310" w14:textId="1026FD02" w:rsidR="00B23523" w:rsidRPr="00E9544F" w:rsidRDefault="00FE4DDA" w:rsidP="00FE4DDA">
            <w:pPr>
              <w:spacing w:line="360" w:lineRule="auto"/>
              <w:jc w:val="both"/>
              <w:rPr>
                <w:rFonts w:ascii="Arial" w:hAnsi="Arial" w:cs="Arial"/>
                <w:sz w:val="18"/>
                <w:szCs w:val="18"/>
              </w:rPr>
            </w:pPr>
            <w:r w:rsidRPr="0091431F">
              <w:rPr>
                <w:rFonts w:ascii="Arial" w:hAnsi="Arial" w:cs="Arial"/>
                <w:sz w:val="18"/>
                <w:szCs w:val="18"/>
              </w:rPr>
              <w:t>(1F) Falta de documentación comprobatoria y justificativa de las erogaciones</w:t>
            </w:r>
          </w:p>
        </w:tc>
        <w:tc>
          <w:tcPr>
            <w:tcW w:w="1701" w:type="dxa"/>
            <w:tcBorders>
              <w:top w:val="single" w:sz="4" w:space="0" w:color="BFBFBF" w:themeColor="background1" w:themeShade="BF"/>
              <w:left w:val="nil"/>
              <w:bottom w:val="single" w:sz="4" w:space="0" w:color="BFBFBF" w:themeColor="background1" w:themeShade="BF"/>
              <w:right w:val="single" w:sz="4" w:space="0" w:color="D9D9D9" w:themeColor="background1" w:themeShade="D9"/>
            </w:tcBorders>
            <w:shd w:val="clear" w:color="auto" w:fill="auto"/>
          </w:tcPr>
          <w:p w14:paraId="1DDD7918" w14:textId="05BBE84D" w:rsidR="00B23523" w:rsidRPr="00E9544F" w:rsidRDefault="00FE4DDA" w:rsidP="00024164">
            <w:pPr>
              <w:spacing w:line="360" w:lineRule="auto"/>
              <w:jc w:val="right"/>
              <w:rPr>
                <w:rFonts w:ascii="Arial" w:hAnsi="Arial" w:cs="Arial"/>
                <w:sz w:val="18"/>
                <w:szCs w:val="18"/>
              </w:rPr>
            </w:pPr>
            <w:r>
              <w:rPr>
                <w:rFonts w:ascii="Arial" w:hAnsi="Arial" w:cs="Arial"/>
                <w:sz w:val="18"/>
                <w:szCs w:val="18"/>
              </w:rPr>
              <w:t>913,941.43</w:t>
            </w:r>
          </w:p>
        </w:tc>
        <w:tc>
          <w:tcPr>
            <w:tcW w:w="1701"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547B3DBF" w14:textId="3D0F7003" w:rsidR="00B23523" w:rsidRPr="00E9544F" w:rsidRDefault="00F62919" w:rsidP="00024164">
            <w:pPr>
              <w:spacing w:line="360" w:lineRule="auto"/>
              <w:jc w:val="right"/>
              <w:rPr>
                <w:rFonts w:ascii="Arial" w:hAnsi="Arial" w:cs="Arial"/>
                <w:sz w:val="18"/>
                <w:szCs w:val="18"/>
              </w:rPr>
            </w:pPr>
            <w:r>
              <w:rPr>
                <w:rFonts w:ascii="Arial" w:hAnsi="Arial" w:cs="Arial"/>
                <w:sz w:val="18"/>
                <w:szCs w:val="18"/>
              </w:rPr>
              <w:t>913,941.43</w:t>
            </w:r>
          </w:p>
        </w:tc>
        <w:tc>
          <w:tcPr>
            <w:tcW w:w="1559" w:type="dxa"/>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16FCB2CA" w14:textId="41B8FF98" w:rsidR="00B23523" w:rsidRPr="00E9544F" w:rsidRDefault="00FE4DDA" w:rsidP="00024164">
            <w:pPr>
              <w:spacing w:line="360" w:lineRule="auto"/>
              <w:jc w:val="right"/>
              <w:rPr>
                <w:rFonts w:ascii="Arial" w:hAnsi="Arial" w:cs="Arial"/>
                <w:sz w:val="18"/>
                <w:szCs w:val="18"/>
              </w:rPr>
            </w:pPr>
            <w:r>
              <w:rPr>
                <w:rFonts w:ascii="Arial" w:hAnsi="Arial" w:cs="Arial"/>
                <w:sz w:val="18"/>
                <w:szCs w:val="18"/>
              </w:rPr>
              <w:t>0.00</w:t>
            </w:r>
          </w:p>
        </w:tc>
        <w:tc>
          <w:tcPr>
            <w:tcW w:w="1667" w:type="dxa"/>
            <w:gridSpan w:val="2"/>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7763A028" w14:textId="19685E59" w:rsidR="00B23523" w:rsidRPr="00E9544F" w:rsidRDefault="00F62919" w:rsidP="00024164">
            <w:pPr>
              <w:spacing w:line="360" w:lineRule="auto"/>
              <w:jc w:val="right"/>
              <w:rPr>
                <w:rFonts w:ascii="Arial" w:hAnsi="Arial" w:cs="Arial"/>
                <w:sz w:val="18"/>
                <w:szCs w:val="18"/>
              </w:rPr>
            </w:pPr>
            <w:r>
              <w:rPr>
                <w:rFonts w:ascii="Arial" w:hAnsi="Arial" w:cs="Arial"/>
                <w:sz w:val="18"/>
                <w:szCs w:val="18"/>
              </w:rPr>
              <w:t>0.00</w:t>
            </w:r>
          </w:p>
        </w:tc>
      </w:tr>
      <w:tr w:rsidR="00B23523" w:rsidRPr="00E9544F" w14:paraId="42262965" w14:textId="77777777" w:rsidTr="000D4F51">
        <w:trPr>
          <w:trHeight w:val="604"/>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14:paraId="7CF07BE7" w14:textId="51A37300" w:rsidR="00B23523" w:rsidRPr="00E9544F" w:rsidRDefault="00FE4DDA" w:rsidP="00FE4DDA">
            <w:pPr>
              <w:spacing w:line="360" w:lineRule="auto"/>
              <w:jc w:val="both"/>
              <w:rPr>
                <w:rFonts w:ascii="Arial" w:hAnsi="Arial" w:cs="Arial"/>
                <w:sz w:val="18"/>
                <w:szCs w:val="18"/>
              </w:rPr>
            </w:pPr>
            <w:r w:rsidRPr="0091431F">
              <w:rPr>
                <w:rFonts w:ascii="Arial" w:hAnsi="Arial" w:cs="Arial"/>
                <w:sz w:val="18"/>
                <w:szCs w:val="18"/>
              </w:rPr>
              <w:t>(2A) Pagos improcedentes o en exceso</w:t>
            </w:r>
          </w:p>
        </w:tc>
        <w:tc>
          <w:tcPr>
            <w:tcW w:w="1701" w:type="dxa"/>
            <w:tcBorders>
              <w:top w:val="single" w:sz="4" w:space="0" w:color="BFBFBF" w:themeColor="background1" w:themeShade="BF"/>
              <w:left w:val="nil"/>
              <w:bottom w:val="single" w:sz="4" w:space="0" w:color="auto"/>
              <w:right w:val="single" w:sz="4" w:space="0" w:color="D9D9D9" w:themeColor="background1" w:themeShade="D9"/>
            </w:tcBorders>
            <w:shd w:val="clear" w:color="auto" w:fill="auto"/>
          </w:tcPr>
          <w:p w14:paraId="30CE34FF" w14:textId="63E6652B" w:rsidR="00B23523" w:rsidRPr="00E9544F" w:rsidRDefault="00FE4DDA" w:rsidP="00024164">
            <w:pPr>
              <w:spacing w:line="360" w:lineRule="auto"/>
              <w:jc w:val="right"/>
              <w:rPr>
                <w:rFonts w:ascii="Arial" w:hAnsi="Arial" w:cs="Arial"/>
                <w:sz w:val="18"/>
                <w:szCs w:val="18"/>
              </w:rPr>
            </w:pPr>
            <w:r>
              <w:rPr>
                <w:rFonts w:ascii="Arial" w:hAnsi="Arial" w:cs="Arial"/>
                <w:sz w:val="18"/>
                <w:szCs w:val="18"/>
              </w:rPr>
              <w:t>517.52</w:t>
            </w:r>
          </w:p>
        </w:tc>
        <w:tc>
          <w:tcPr>
            <w:tcW w:w="1701" w:type="dxa"/>
            <w:tcBorders>
              <w:top w:val="single" w:sz="4" w:space="0" w:color="BFBFBF" w:themeColor="background1" w:themeShade="BF"/>
              <w:left w:val="single" w:sz="4" w:space="0" w:color="D9D9D9" w:themeColor="background1" w:themeShade="D9"/>
              <w:bottom w:val="single" w:sz="4" w:space="0" w:color="auto"/>
              <w:right w:val="single" w:sz="4" w:space="0" w:color="D9D9D9" w:themeColor="background1" w:themeShade="D9"/>
            </w:tcBorders>
            <w:shd w:val="clear" w:color="auto" w:fill="auto"/>
          </w:tcPr>
          <w:p w14:paraId="71D3D9A6" w14:textId="7CE4860C" w:rsidR="00B23523" w:rsidRPr="00E9544F" w:rsidRDefault="001525A9" w:rsidP="00024164">
            <w:pPr>
              <w:spacing w:line="360" w:lineRule="auto"/>
              <w:jc w:val="right"/>
              <w:rPr>
                <w:rFonts w:ascii="Arial" w:hAnsi="Arial" w:cs="Arial"/>
                <w:sz w:val="18"/>
                <w:szCs w:val="18"/>
              </w:rPr>
            </w:pPr>
            <w:r>
              <w:rPr>
                <w:rFonts w:ascii="Arial" w:hAnsi="Arial" w:cs="Arial"/>
                <w:sz w:val="18"/>
                <w:szCs w:val="18"/>
              </w:rPr>
              <w:t>517.52</w:t>
            </w:r>
          </w:p>
        </w:tc>
        <w:tc>
          <w:tcPr>
            <w:tcW w:w="1559" w:type="dxa"/>
            <w:tcBorders>
              <w:top w:val="single" w:sz="4" w:space="0" w:color="BFBFBF" w:themeColor="background1" w:themeShade="BF"/>
              <w:left w:val="single" w:sz="4" w:space="0" w:color="D9D9D9" w:themeColor="background1" w:themeShade="D9"/>
              <w:bottom w:val="single" w:sz="4" w:space="0" w:color="auto"/>
              <w:right w:val="single" w:sz="4" w:space="0" w:color="D9D9D9" w:themeColor="background1" w:themeShade="D9"/>
            </w:tcBorders>
            <w:shd w:val="clear" w:color="auto" w:fill="auto"/>
          </w:tcPr>
          <w:p w14:paraId="6751AC4A" w14:textId="64A0577E" w:rsidR="00B23523" w:rsidRPr="00E9544F" w:rsidRDefault="00FE4DDA" w:rsidP="00024164">
            <w:pPr>
              <w:spacing w:line="360" w:lineRule="auto"/>
              <w:jc w:val="right"/>
              <w:rPr>
                <w:rFonts w:ascii="Arial" w:hAnsi="Arial" w:cs="Arial"/>
                <w:sz w:val="18"/>
                <w:szCs w:val="18"/>
              </w:rPr>
            </w:pPr>
            <w:r>
              <w:rPr>
                <w:rFonts w:ascii="Arial" w:hAnsi="Arial" w:cs="Arial"/>
                <w:sz w:val="18"/>
                <w:szCs w:val="18"/>
              </w:rPr>
              <w:t>0.00</w:t>
            </w:r>
          </w:p>
        </w:tc>
        <w:tc>
          <w:tcPr>
            <w:tcW w:w="1667" w:type="dxa"/>
            <w:gridSpan w:val="2"/>
            <w:tcBorders>
              <w:top w:val="single" w:sz="4" w:space="0" w:color="BFBFBF" w:themeColor="background1" w:themeShade="BF"/>
              <w:left w:val="single" w:sz="4" w:space="0" w:color="D9D9D9" w:themeColor="background1" w:themeShade="D9"/>
              <w:bottom w:val="single" w:sz="4" w:space="0" w:color="auto"/>
              <w:right w:val="single" w:sz="4" w:space="0" w:color="D9D9D9" w:themeColor="background1" w:themeShade="D9"/>
            </w:tcBorders>
            <w:shd w:val="clear" w:color="auto" w:fill="auto"/>
          </w:tcPr>
          <w:p w14:paraId="434B7DCE" w14:textId="550FC386" w:rsidR="00B23523" w:rsidRPr="00E9544F" w:rsidRDefault="00FE4DDA" w:rsidP="00024164">
            <w:pPr>
              <w:spacing w:line="360" w:lineRule="auto"/>
              <w:jc w:val="right"/>
              <w:rPr>
                <w:rFonts w:ascii="Arial" w:hAnsi="Arial" w:cs="Arial"/>
                <w:sz w:val="18"/>
                <w:szCs w:val="18"/>
              </w:rPr>
            </w:pPr>
            <w:r>
              <w:rPr>
                <w:rFonts w:ascii="Arial" w:hAnsi="Arial" w:cs="Arial"/>
                <w:sz w:val="18"/>
                <w:szCs w:val="18"/>
              </w:rPr>
              <w:t>0.00</w:t>
            </w:r>
          </w:p>
        </w:tc>
      </w:tr>
      <w:tr w:rsidR="00A623C4" w:rsidRPr="00D50730" w14:paraId="0B0B2F39" w14:textId="77777777" w:rsidTr="000D4F51">
        <w:trPr>
          <w:trHeight w:val="3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A4771D9" w14:textId="77777777" w:rsidR="00A623C4" w:rsidRPr="00E9544F" w:rsidRDefault="00A623C4" w:rsidP="00024164">
            <w:pPr>
              <w:spacing w:line="276" w:lineRule="auto"/>
              <w:ind w:right="49"/>
              <w:jc w:val="right"/>
              <w:rPr>
                <w:rFonts w:ascii="Arial" w:hAnsi="Arial" w:cs="Arial"/>
                <w:b/>
                <w:sz w:val="18"/>
                <w:szCs w:val="18"/>
              </w:rPr>
            </w:pPr>
            <w:r w:rsidRPr="00E9544F">
              <w:rPr>
                <w:rFonts w:ascii="Arial" w:hAnsi="Arial" w:cs="Arial"/>
                <w:b/>
                <w:sz w:val="18"/>
                <w:szCs w:val="18"/>
              </w:rPr>
              <w:t>Totales</w:t>
            </w:r>
          </w:p>
        </w:tc>
        <w:tc>
          <w:tcPr>
            <w:tcW w:w="1701"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1E73C04" w14:textId="7F5C9577" w:rsidR="00A623C4" w:rsidRPr="00E9544F" w:rsidRDefault="00A623C4" w:rsidP="00FE4DDA">
            <w:pPr>
              <w:spacing w:line="276" w:lineRule="auto"/>
              <w:ind w:right="49"/>
              <w:jc w:val="right"/>
              <w:rPr>
                <w:rFonts w:ascii="Arial" w:hAnsi="Arial" w:cs="Arial"/>
                <w:b/>
                <w:sz w:val="18"/>
                <w:szCs w:val="18"/>
              </w:rPr>
            </w:pPr>
            <w:r w:rsidRPr="00E9544F">
              <w:rPr>
                <w:rFonts w:ascii="Arial" w:hAnsi="Arial" w:cs="Arial"/>
                <w:b/>
                <w:bCs/>
                <w:color w:val="000000"/>
                <w:sz w:val="18"/>
                <w:szCs w:val="18"/>
                <w:lang w:eastAsia="es-MX"/>
              </w:rPr>
              <w:t>$</w:t>
            </w:r>
            <w:r w:rsidR="00FE4DDA">
              <w:rPr>
                <w:rFonts w:ascii="Arial" w:hAnsi="Arial" w:cs="Arial"/>
                <w:b/>
                <w:bCs/>
                <w:color w:val="000000"/>
                <w:sz w:val="18"/>
                <w:szCs w:val="18"/>
                <w:lang w:eastAsia="es-MX"/>
              </w:rPr>
              <w:t>1,337,220.64</w:t>
            </w:r>
          </w:p>
        </w:tc>
        <w:tc>
          <w:tcPr>
            <w:tcW w:w="1701"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4EF64968" w14:textId="060606F6" w:rsidR="00A623C4" w:rsidRPr="00E9544F" w:rsidRDefault="00A623C4" w:rsidP="00F62919">
            <w:pPr>
              <w:spacing w:line="276" w:lineRule="auto"/>
              <w:ind w:right="49"/>
              <w:jc w:val="right"/>
              <w:rPr>
                <w:rFonts w:ascii="Arial" w:hAnsi="Arial" w:cs="Arial"/>
                <w:b/>
                <w:sz w:val="18"/>
                <w:szCs w:val="18"/>
              </w:rPr>
            </w:pPr>
            <w:r w:rsidRPr="00E9544F">
              <w:rPr>
                <w:rFonts w:ascii="Arial" w:hAnsi="Arial" w:cs="Arial"/>
                <w:b/>
                <w:sz w:val="18"/>
                <w:szCs w:val="18"/>
              </w:rPr>
              <w:t>$</w:t>
            </w:r>
            <w:r w:rsidR="00F62919">
              <w:rPr>
                <w:rFonts w:ascii="Arial" w:hAnsi="Arial" w:cs="Arial"/>
                <w:b/>
                <w:sz w:val="18"/>
                <w:szCs w:val="18"/>
              </w:rPr>
              <w:t>1,337,220.64</w:t>
            </w:r>
          </w:p>
        </w:tc>
        <w:tc>
          <w:tcPr>
            <w:tcW w:w="1559"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596B009C" w14:textId="77777777" w:rsidR="00A623C4" w:rsidRPr="00E9544F" w:rsidRDefault="00A623C4" w:rsidP="00024164">
            <w:pPr>
              <w:spacing w:line="276" w:lineRule="auto"/>
              <w:ind w:right="49"/>
              <w:jc w:val="right"/>
              <w:rPr>
                <w:rFonts w:ascii="Arial" w:hAnsi="Arial" w:cs="Arial"/>
                <w:b/>
                <w:bCs/>
                <w:color w:val="000000"/>
                <w:sz w:val="18"/>
                <w:szCs w:val="18"/>
                <w:lang w:eastAsia="es-MX"/>
              </w:rPr>
            </w:pPr>
            <w:r w:rsidRPr="00E9544F">
              <w:rPr>
                <w:rFonts w:ascii="Arial" w:hAnsi="Arial" w:cs="Arial"/>
                <w:b/>
                <w:bCs/>
                <w:color w:val="000000"/>
                <w:sz w:val="18"/>
                <w:szCs w:val="18"/>
                <w:lang w:eastAsia="es-MX"/>
              </w:rPr>
              <w:t>$0.00</w:t>
            </w:r>
          </w:p>
        </w:tc>
        <w:tc>
          <w:tcPr>
            <w:tcW w:w="1667" w:type="dxa"/>
            <w:gridSpan w:val="2"/>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90334BD" w14:textId="40B05071" w:rsidR="00A623C4" w:rsidRPr="00D50730" w:rsidRDefault="00A623C4" w:rsidP="00F62919">
            <w:pPr>
              <w:spacing w:line="276" w:lineRule="auto"/>
              <w:ind w:right="49"/>
              <w:jc w:val="right"/>
              <w:rPr>
                <w:rFonts w:ascii="Arial" w:hAnsi="Arial" w:cs="Arial"/>
                <w:b/>
                <w:bCs/>
                <w:color w:val="000000"/>
                <w:sz w:val="18"/>
                <w:szCs w:val="18"/>
                <w:lang w:eastAsia="es-MX"/>
              </w:rPr>
            </w:pPr>
            <w:r w:rsidRPr="00E9544F">
              <w:rPr>
                <w:rFonts w:ascii="Arial" w:hAnsi="Arial" w:cs="Arial"/>
                <w:b/>
                <w:bCs/>
                <w:color w:val="000000"/>
                <w:sz w:val="18"/>
                <w:szCs w:val="18"/>
                <w:lang w:eastAsia="es-MX"/>
              </w:rPr>
              <w:t>$</w:t>
            </w:r>
            <w:r w:rsidR="00F62919">
              <w:rPr>
                <w:rFonts w:ascii="Arial" w:hAnsi="Arial" w:cs="Arial"/>
                <w:b/>
                <w:bCs/>
                <w:color w:val="000000"/>
                <w:sz w:val="18"/>
                <w:szCs w:val="18"/>
                <w:lang w:eastAsia="es-MX"/>
              </w:rPr>
              <w:t>0.00</w:t>
            </w:r>
          </w:p>
        </w:tc>
      </w:tr>
    </w:tbl>
    <w:p w14:paraId="1C43053A" w14:textId="65E6B435" w:rsidR="00E355F4" w:rsidRDefault="00E355F4" w:rsidP="00EE5F92">
      <w:pPr>
        <w:tabs>
          <w:tab w:val="left" w:pos="426"/>
        </w:tabs>
        <w:spacing w:line="360" w:lineRule="auto"/>
        <w:ind w:right="141"/>
        <w:jc w:val="both"/>
        <w:rPr>
          <w:rFonts w:ascii="Arial" w:hAnsi="Arial" w:cs="Arial"/>
          <w:b/>
          <w:bCs/>
          <w:szCs w:val="28"/>
        </w:rPr>
      </w:pPr>
      <w:r w:rsidRPr="00E355F4">
        <w:rPr>
          <w:rFonts w:ascii="Arial" w:hAnsi="Arial" w:cs="Arial"/>
          <w:b/>
          <w:bCs/>
          <w:szCs w:val="28"/>
        </w:rPr>
        <w:lastRenderedPageBreak/>
        <w:t>Síntesis de las justificaciones y aclaraciones</w:t>
      </w:r>
      <w:r>
        <w:rPr>
          <w:rFonts w:ascii="Arial" w:hAnsi="Arial" w:cs="Arial"/>
          <w:b/>
          <w:bCs/>
          <w:szCs w:val="28"/>
        </w:rPr>
        <w:t xml:space="preserve"> presentadas por la Entidad Fiscalizada</w:t>
      </w:r>
    </w:p>
    <w:p w14:paraId="5E9C3370" w14:textId="77777777" w:rsidR="00FD716A" w:rsidRPr="00750EF5" w:rsidRDefault="00FD716A" w:rsidP="00EE5F92">
      <w:pPr>
        <w:tabs>
          <w:tab w:val="left" w:pos="426"/>
        </w:tabs>
        <w:spacing w:line="360" w:lineRule="auto"/>
        <w:ind w:right="141"/>
        <w:jc w:val="both"/>
        <w:rPr>
          <w:rFonts w:ascii="Arial" w:hAnsi="Arial" w:cs="Arial"/>
          <w:b/>
          <w:bCs/>
        </w:rPr>
      </w:pPr>
    </w:p>
    <w:p w14:paraId="79D136E9" w14:textId="2542E503" w:rsidR="00EE2C44" w:rsidRDefault="006757A6" w:rsidP="00EE5F92">
      <w:pPr>
        <w:tabs>
          <w:tab w:val="left" w:pos="426"/>
        </w:tabs>
        <w:spacing w:line="360" w:lineRule="auto"/>
        <w:ind w:right="141"/>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reunión de trabajo</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A330C6">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E67D5C">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bookmarkEnd w:id="16"/>
    <w:p w14:paraId="6424A28D" w14:textId="2302CD9D"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024164">
        <w:rPr>
          <w:rFonts w:ascii="Arial" w:hAnsi="Arial" w:cs="Arial"/>
          <w:b/>
        </w:rPr>
        <w:t>I</w:t>
      </w:r>
      <w:r w:rsidR="00AA0C8E">
        <w:rPr>
          <w:rFonts w:ascii="Arial" w:hAnsi="Arial" w:cs="Arial"/>
          <w:b/>
        </w:rPr>
        <w:t>I</w:t>
      </w:r>
      <w:r w:rsidR="00183532">
        <w:rPr>
          <w:rFonts w:ascii="Arial" w:hAnsi="Arial" w:cs="Arial"/>
          <w:b/>
        </w:rPr>
        <w:t xml:space="preserve">. </w:t>
      </w:r>
      <w:r w:rsidR="00024164">
        <w:rPr>
          <w:rFonts w:ascii="Arial" w:hAnsi="Arial" w:cs="Arial"/>
          <w:b/>
        </w:rPr>
        <w:t>DICTÁMENES</w:t>
      </w:r>
      <w:r w:rsidR="00BE445E" w:rsidRPr="00B42982">
        <w:rPr>
          <w:rFonts w:ascii="Arial" w:hAnsi="Arial" w:cs="Arial"/>
          <w:b/>
        </w:rPr>
        <w:t xml:space="preserve"> DE</w:t>
      </w:r>
      <w:r w:rsidR="00024164">
        <w:rPr>
          <w:rFonts w:ascii="Arial" w:hAnsi="Arial" w:cs="Arial"/>
          <w:b/>
        </w:rPr>
        <w:t xml:space="preserve"> </w:t>
      </w:r>
      <w:r w:rsidR="00BE445E" w:rsidRPr="00B42982">
        <w:rPr>
          <w:rFonts w:ascii="Arial" w:hAnsi="Arial" w:cs="Arial"/>
          <w:b/>
        </w:rPr>
        <w:t>L</w:t>
      </w:r>
      <w:r w:rsidR="00024164">
        <w:rPr>
          <w:rFonts w:ascii="Arial" w:hAnsi="Arial" w:cs="Arial"/>
          <w:b/>
        </w:rPr>
        <w:t>OS</w:t>
      </w:r>
      <w:r w:rsidR="00BE445E" w:rsidRPr="00B42982">
        <w:rPr>
          <w:rFonts w:ascii="Arial" w:hAnsi="Arial" w:cs="Arial"/>
          <w:b/>
        </w:rPr>
        <w:t xml:space="preserve"> INFORME</w:t>
      </w:r>
      <w:r w:rsidR="00024164">
        <w:rPr>
          <w:rFonts w:ascii="Arial" w:hAnsi="Arial" w:cs="Arial"/>
          <w:b/>
        </w:rPr>
        <w:t>S</w:t>
      </w:r>
      <w:r w:rsidR="00BE445E" w:rsidRPr="00B42982">
        <w:rPr>
          <w:rFonts w:ascii="Arial" w:hAnsi="Arial" w:cs="Arial"/>
          <w:b/>
        </w:rPr>
        <w:t xml:space="preserve"> INDIVIDUAL</w:t>
      </w:r>
      <w:r w:rsidR="00024164">
        <w:rPr>
          <w:rFonts w:ascii="Arial" w:hAnsi="Arial" w:cs="Arial"/>
          <w:b/>
        </w:rPr>
        <w:t>ES</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2B6D22B8" w14:textId="2FF6E0A8" w:rsidR="00BC7D12" w:rsidRPr="00E024A3" w:rsidRDefault="00BC7D12" w:rsidP="00BC7D12">
      <w:pPr>
        <w:spacing w:line="360" w:lineRule="auto"/>
        <w:ind w:right="190"/>
        <w:jc w:val="both"/>
        <w:rPr>
          <w:rFonts w:ascii="Arial" w:hAnsi="Arial" w:cs="Arial"/>
        </w:rPr>
      </w:pPr>
      <w:r w:rsidRPr="00E024A3">
        <w:rPr>
          <w:rFonts w:ascii="Arial" w:hAnsi="Arial" w:cs="Arial"/>
        </w:rPr>
        <w:t xml:space="preserve">El presente dictamen se emite </w:t>
      </w:r>
      <w:r w:rsidRPr="00FE4DDA">
        <w:rPr>
          <w:rFonts w:ascii="Arial" w:hAnsi="Arial" w:cs="Arial"/>
        </w:rPr>
        <w:t xml:space="preserve">el </w:t>
      </w:r>
      <w:r w:rsidR="00FA75B6">
        <w:rPr>
          <w:rFonts w:ascii="Arial" w:hAnsi="Arial" w:cs="Arial"/>
        </w:rPr>
        <w:t>9</w:t>
      </w:r>
      <w:r w:rsidR="00E9735F" w:rsidRPr="00FE4DDA">
        <w:rPr>
          <w:rFonts w:ascii="Arial" w:hAnsi="Arial" w:cs="Arial"/>
        </w:rPr>
        <w:t xml:space="preserve"> de febrero de 2022</w:t>
      </w:r>
      <w:r w:rsidRPr="00FE4DDA">
        <w:rPr>
          <w:rFonts w:ascii="Arial" w:hAnsi="Arial" w:cs="Arial"/>
        </w:rPr>
        <w:t>,</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A623C4">
        <w:rPr>
          <w:rFonts w:ascii="Arial" w:hAnsi="Arial" w:cs="Arial"/>
        </w:rPr>
        <w:t>2020</w:t>
      </w:r>
      <w:r w:rsidRPr="00E024A3">
        <w:rPr>
          <w:rFonts w:ascii="Arial" w:hAnsi="Arial" w:cs="Arial"/>
        </w:rPr>
        <w:t>, formulados, integrados y presentados por</w:t>
      </w:r>
      <w:r>
        <w:rPr>
          <w:rFonts w:ascii="Arial" w:hAnsi="Arial" w:cs="Arial"/>
        </w:rPr>
        <w:t xml:space="preserve"> el</w:t>
      </w:r>
      <w:r w:rsidRPr="00E024A3">
        <w:rPr>
          <w:rFonts w:ascii="Arial" w:hAnsi="Arial" w:cs="Arial"/>
        </w:rPr>
        <w:t xml:space="preserve"> </w:t>
      </w:r>
      <w:r w:rsidR="00BE3D4F">
        <w:rPr>
          <w:rFonts w:ascii="Arial" w:hAnsi="Arial" w:cs="Arial"/>
          <w:b/>
          <w:bCs/>
        </w:rPr>
        <w:t>Instituto de Movilidad del Estado de Quintana Roo</w:t>
      </w:r>
      <w:r>
        <w:rPr>
          <w:rFonts w:ascii="Arial" w:hAnsi="Arial" w:cs="Arial"/>
          <w:b/>
          <w:bCs/>
        </w:rPr>
        <w:t>.</w:t>
      </w:r>
    </w:p>
    <w:p w14:paraId="14D9C27D" w14:textId="77777777" w:rsidR="00BC7D12" w:rsidRPr="00E024A3" w:rsidRDefault="00BC7D12" w:rsidP="00BC7D12">
      <w:pPr>
        <w:spacing w:line="360" w:lineRule="auto"/>
        <w:ind w:right="190"/>
        <w:jc w:val="both"/>
        <w:rPr>
          <w:rFonts w:ascii="Arial" w:hAnsi="Arial" w:cs="Arial"/>
        </w:rPr>
      </w:pPr>
    </w:p>
    <w:p w14:paraId="0107007E" w14:textId="77777777" w:rsidR="00BC7D12" w:rsidRPr="00E024A3" w:rsidRDefault="00BC7D12" w:rsidP="00BC7D12">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4AA9567" w14:textId="77777777" w:rsidR="00BC7D12" w:rsidRPr="00E024A3" w:rsidRDefault="00BC7D12" w:rsidP="00BC7D12">
      <w:pPr>
        <w:spacing w:line="360" w:lineRule="auto"/>
        <w:ind w:right="190"/>
        <w:jc w:val="both"/>
        <w:rPr>
          <w:rFonts w:ascii="Arial" w:hAnsi="Arial" w:cs="Arial"/>
        </w:rPr>
      </w:pPr>
    </w:p>
    <w:p w14:paraId="1F3249AB" w14:textId="77777777" w:rsidR="00BC7D12" w:rsidRDefault="00BC7D12" w:rsidP="00BC7D12">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w:t>
      </w:r>
      <w:r w:rsidRPr="00E024A3">
        <w:rPr>
          <w:rFonts w:ascii="Arial" w:hAnsi="Arial" w:cs="Arial"/>
        </w:rPr>
        <w:lastRenderedPageBreak/>
        <w:t xml:space="preserve">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9106068" w14:textId="77777777" w:rsidR="00A623C4" w:rsidRDefault="00A623C4" w:rsidP="00BC7D12">
      <w:pPr>
        <w:spacing w:line="360" w:lineRule="auto"/>
        <w:ind w:right="190"/>
        <w:jc w:val="both"/>
        <w:rPr>
          <w:rFonts w:ascii="Arial" w:hAnsi="Arial" w:cs="Arial"/>
          <w:b/>
          <w:bCs/>
        </w:rPr>
      </w:pPr>
    </w:p>
    <w:p w14:paraId="7F3A2445" w14:textId="324928B0" w:rsidR="00BC7D12" w:rsidRPr="00E024A3" w:rsidRDefault="00BC7D12" w:rsidP="00BC7D12">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623C4">
        <w:rPr>
          <w:rFonts w:ascii="Arial" w:hAnsi="Arial" w:cs="Arial"/>
          <w:b/>
          <w:bCs/>
        </w:rPr>
        <w:t>20</w:t>
      </w:r>
      <w:r w:rsidR="00733F26">
        <w:rPr>
          <w:rFonts w:ascii="Arial" w:hAnsi="Arial" w:cs="Arial"/>
          <w:b/>
          <w:bCs/>
        </w:rPr>
        <w:t>-AEMF-E-GOB-</w:t>
      </w:r>
      <w:r w:rsidR="00BE3D4F">
        <w:rPr>
          <w:rFonts w:ascii="Arial" w:hAnsi="Arial" w:cs="Arial"/>
          <w:b/>
          <w:bCs/>
        </w:rPr>
        <w:t>035</w:t>
      </w:r>
      <w:r w:rsidR="00733F26">
        <w:rPr>
          <w:rFonts w:ascii="Arial" w:hAnsi="Arial" w:cs="Arial"/>
          <w:b/>
          <w:bCs/>
        </w:rPr>
        <w:t>-0</w:t>
      </w:r>
      <w:r w:rsidR="00BE3D4F">
        <w:rPr>
          <w:rFonts w:ascii="Arial" w:hAnsi="Arial" w:cs="Arial"/>
          <w:b/>
          <w:bCs/>
        </w:rPr>
        <w:t>69</w:t>
      </w:r>
      <w:r w:rsidR="00A623C4" w:rsidRPr="001877A0">
        <w:rPr>
          <w:rFonts w:ascii="Arial" w:hAnsi="Arial" w:cs="Arial"/>
        </w:rPr>
        <w:t>, denominada ”Auditoría de Cumplimiento Financiero de Ingresos y Otros Beneficios”</w:t>
      </w:r>
      <w:r w:rsidRPr="00E024A3">
        <w:rPr>
          <w:rFonts w:ascii="Arial" w:hAnsi="Arial" w:cs="Arial"/>
        </w:rPr>
        <w:t xml:space="preserve">, cuyo objetivo fue </w:t>
      </w:r>
      <w:r w:rsidR="00A623C4" w:rsidRPr="001877A0">
        <w:rPr>
          <w:rFonts w:ascii="Arial" w:hAnsi="Arial" w:cs="Arial"/>
        </w:rPr>
        <w:t xml:space="preserve">fiscalizar la gestión financiera para comprobar el cumplimiento de lo dispuesto en el Presupuesto de Ingresos para el ejercicio fiscal </w:t>
      </w:r>
      <w:r w:rsidR="00A623C4">
        <w:rPr>
          <w:rFonts w:ascii="Arial" w:hAnsi="Arial" w:cs="Arial"/>
        </w:rPr>
        <w:t>2020</w:t>
      </w:r>
      <w:r w:rsidR="00A623C4" w:rsidRPr="001877A0">
        <w:rPr>
          <w:rFonts w:ascii="Arial" w:hAnsi="Arial" w:cs="Arial"/>
        </w:rPr>
        <w:t>,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w:t>
      </w:r>
      <w:r w:rsidR="00A623C4">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Pr>
          <w:rFonts w:ascii="Arial" w:hAnsi="Arial" w:cs="Arial"/>
        </w:rPr>
        <w:t>el</w:t>
      </w:r>
      <w:r w:rsidRPr="00E024A3">
        <w:rPr>
          <w:rFonts w:ascii="Arial" w:hAnsi="Arial" w:cs="Arial"/>
        </w:rPr>
        <w:t xml:space="preserve"> </w:t>
      </w:r>
      <w:r w:rsidR="00BE3D4F">
        <w:rPr>
          <w:rFonts w:ascii="Arial" w:hAnsi="Arial" w:cs="Arial"/>
          <w:b/>
          <w:bCs/>
        </w:rPr>
        <w:t>Instituto de Movilidad del Estado de Quintana Roo</w:t>
      </w:r>
      <w:r w:rsidRPr="00E024A3">
        <w:rPr>
          <w:rFonts w:ascii="Arial" w:hAnsi="Arial" w:cs="Arial"/>
        </w:rPr>
        <w:t xml:space="preserve"> cumplió con las disposiciones legales y normativas que son aplicables en la materia</w:t>
      </w:r>
      <w:r w:rsidR="00EC4DEC">
        <w:rPr>
          <w:rFonts w:ascii="Arial" w:hAnsi="Arial" w:cs="Arial"/>
        </w:rPr>
        <w:t>.</w:t>
      </w:r>
    </w:p>
    <w:p w14:paraId="6EEE9B5B" w14:textId="119D5D35" w:rsidR="00A623C4" w:rsidRDefault="00A623C4" w:rsidP="00BC7D12">
      <w:pPr>
        <w:spacing w:line="360" w:lineRule="auto"/>
        <w:ind w:right="190"/>
        <w:jc w:val="both"/>
        <w:rPr>
          <w:rFonts w:ascii="Arial" w:hAnsi="Arial" w:cs="Arial"/>
        </w:rPr>
      </w:pPr>
    </w:p>
    <w:p w14:paraId="136EAD94" w14:textId="6DAC0AFF" w:rsidR="00BC7D12" w:rsidRPr="00E024A3" w:rsidRDefault="00BC7D12" w:rsidP="00BC7D12">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623C4" w:rsidRPr="00A623C4">
        <w:rPr>
          <w:rFonts w:ascii="Arial" w:hAnsi="Arial" w:cs="Arial"/>
          <w:b/>
        </w:rPr>
        <w:t>20</w:t>
      </w:r>
      <w:r w:rsidR="00733F26">
        <w:rPr>
          <w:rFonts w:ascii="Arial" w:hAnsi="Arial" w:cs="Arial"/>
          <w:b/>
          <w:bCs/>
        </w:rPr>
        <w:t>-AEMF-E-GOB-0</w:t>
      </w:r>
      <w:r w:rsidR="00BE3D4F">
        <w:rPr>
          <w:rFonts w:ascii="Arial" w:hAnsi="Arial" w:cs="Arial"/>
          <w:b/>
          <w:bCs/>
        </w:rPr>
        <w:t>35</w:t>
      </w:r>
      <w:r w:rsidR="00A623C4" w:rsidRPr="001877A0">
        <w:rPr>
          <w:rFonts w:ascii="Arial" w:hAnsi="Arial" w:cs="Arial"/>
          <w:b/>
          <w:bCs/>
        </w:rPr>
        <w:t>-0</w:t>
      </w:r>
      <w:r w:rsidR="00BE3D4F">
        <w:rPr>
          <w:rFonts w:ascii="Arial" w:hAnsi="Arial" w:cs="Arial"/>
          <w:b/>
          <w:bCs/>
        </w:rPr>
        <w:t>70</w:t>
      </w:r>
      <w:r w:rsidR="00A623C4" w:rsidRPr="001877A0">
        <w:rPr>
          <w:rFonts w:ascii="Arial" w:hAnsi="Arial" w:cs="Arial"/>
        </w:rPr>
        <w:t>, denominada “Auditoría de Cumplimiento Financiero de Gastos y Otras Pérdidas”</w:t>
      </w:r>
      <w:r w:rsidR="00F43829">
        <w:rPr>
          <w:rFonts w:ascii="Arial" w:hAnsi="Arial" w:cs="Arial"/>
        </w:rPr>
        <w:t>,</w:t>
      </w:r>
      <w:r w:rsidRPr="00E024A3">
        <w:rPr>
          <w:rFonts w:ascii="Arial" w:hAnsi="Arial" w:cs="Arial"/>
        </w:rPr>
        <w:t xml:space="preserve"> cuyo objetivo fue </w:t>
      </w:r>
      <w:r w:rsidR="00A623C4" w:rsidRPr="001877A0">
        <w:rPr>
          <w:rFonts w:ascii="Arial" w:hAnsi="Arial" w:cs="Arial"/>
        </w:rPr>
        <w:t xml:space="preserve">fiscalizar la gestión financiera para comprobar el cumplimiento de lo dispuesto en el Presupuesto de Egresos para el ejercicio fiscal </w:t>
      </w:r>
      <w:r w:rsidR="00A623C4">
        <w:rPr>
          <w:rFonts w:ascii="Arial" w:hAnsi="Arial" w:cs="Arial"/>
        </w:rPr>
        <w:t>2020</w:t>
      </w:r>
      <w:r w:rsidR="00A623C4" w:rsidRPr="001877A0">
        <w:rPr>
          <w:rFonts w:ascii="Arial" w:hAnsi="Arial" w:cs="Arial"/>
        </w:rPr>
        <w:t>, y demás disposiciones legales aplicables, en cuanto al gasto público, incluyendo la revisión del manejo, la custodia y la aplicación de recursos públicos estatales, así como de la demás información financiera, contable, patrimonial, presupuestaria y programática, conforme a las disposiciones aplicables</w:t>
      </w:r>
      <w:r w:rsidR="00A623C4">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el</w:t>
      </w:r>
      <w:r w:rsidRPr="00E024A3">
        <w:rPr>
          <w:rFonts w:ascii="Arial" w:hAnsi="Arial" w:cs="Arial"/>
        </w:rPr>
        <w:t xml:space="preserve"> </w:t>
      </w:r>
      <w:r w:rsidR="00BE3D4F">
        <w:rPr>
          <w:rFonts w:ascii="Arial" w:hAnsi="Arial" w:cs="Arial"/>
          <w:b/>
          <w:bCs/>
        </w:rPr>
        <w:t>Instituto de Movilidad del Estado de Quintana Roo</w:t>
      </w:r>
      <w:r w:rsidRPr="00BC7D12">
        <w:rPr>
          <w:rFonts w:ascii="Arial" w:hAnsi="Arial" w:cs="Arial"/>
          <w:b/>
          <w:bCs/>
        </w:rPr>
        <w:t xml:space="preserve"> </w:t>
      </w:r>
      <w:r w:rsidRPr="00E024A3">
        <w:rPr>
          <w:rFonts w:ascii="Arial" w:hAnsi="Arial" w:cs="Arial"/>
        </w:rPr>
        <w:t>cumplió con las disposiciones legales y normativas que son aplicables en la materia</w:t>
      </w:r>
      <w:r w:rsidR="00C93F8E">
        <w:rPr>
          <w:rFonts w:ascii="Arial" w:hAnsi="Arial" w:cs="Arial"/>
        </w:rPr>
        <w:t>.</w:t>
      </w:r>
    </w:p>
    <w:p w14:paraId="06FB03BD" w14:textId="77777777" w:rsidR="00BC7D12" w:rsidRDefault="00BC7D12" w:rsidP="00EE5F92">
      <w:pPr>
        <w:spacing w:line="360" w:lineRule="auto"/>
        <w:ind w:right="141"/>
        <w:jc w:val="both"/>
        <w:rPr>
          <w:rFonts w:ascii="Arial" w:hAnsi="Arial" w:cs="Arial"/>
        </w:rPr>
      </w:pPr>
    </w:p>
    <w:p w14:paraId="0D754904" w14:textId="4FABCB4A" w:rsidR="00F8399B" w:rsidRDefault="00851FEE" w:rsidP="00F8399B">
      <w:pPr>
        <w:spacing w:line="360" w:lineRule="auto"/>
        <w:ind w:right="49"/>
        <w:jc w:val="both"/>
        <w:rPr>
          <w:rFonts w:ascii="Arial" w:hAnsi="Arial" w:cs="Arial"/>
        </w:rPr>
      </w:pPr>
      <w:r w:rsidRPr="00851FEE">
        <w:rPr>
          <w:rFonts w:ascii="Arial" w:hAnsi="Arial" w:cs="Arial"/>
        </w:rPr>
        <w:t>Las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a las mejoras realizadas y las acciones emprendidas, realizando las consideraciones pertinentes de acuerdo a la Ley de Fiscalización y Rendición de Cuentas del Estado de Quintana Roo.</w:t>
      </w:r>
    </w:p>
    <w:p w14:paraId="1081A45C" w14:textId="7826E2F3" w:rsidR="00EC4DEC" w:rsidRDefault="00EC4DEC" w:rsidP="00F8399B">
      <w:pPr>
        <w:spacing w:line="360" w:lineRule="auto"/>
        <w:ind w:right="49"/>
        <w:jc w:val="both"/>
        <w:rPr>
          <w:rFonts w:ascii="Arial" w:hAnsi="Arial" w:cs="Arial"/>
        </w:rPr>
      </w:pPr>
    </w:p>
    <w:p w14:paraId="06DD7C64" w14:textId="77777777" w:rsidR="00851FEE" w:rsidRPr="003B5C52" w:rsidRDefault="00851FEE" w:rsidP="00F8399B">
      <w:pPr>
        <w:spacing w:line="360" w:lineRule="auto"/>
        <w:ind w:right="49"/>
        <w:jc w:val="both"/>
        <w:rPr>
          <w:rFonts w:ascii="Arial" w:hAnsi="Arial" w:cs="Arial"/>
        </w:rPr>
      </w:pPr>
    </w:p>
    <w:p w14:paraId="677EE363" w14:textId="77777777" w:rsidR="00F8399B" w:rsidRPr="003B5C52" w:rsidRDefault="00F8399B" w:rsidP="00F8399B">
      <w:pPr>
        <w:spacing w:line="360" w:lineRule="auto"/>
        <w:ind w:right="49"/>
        <w:jc w:val="center"/>
        <w:rPr>
          <w:rFonts w:ascii="Arial" w:hAnsi="Arial" w:cs="Arial"/>
          <w:b/>
        </w:rPr>
      </w:pPr>
      <w:r w:rsidRPr="003B5C52">
        <w:rPr>
          <w:rFonts w:ascii="Arial" w:hAnsi="Arial" w:cs="Arial"/>
          <w:b/>
        </w:rPr>
        <w:t>EL AUDITOR SUPERIOR DEL ESTADO</w:t>
      </w:r>
    </w:p>
    <w:p w14:paraId="09E62B01" w14:textId="77777777" w:rsidR="00F8399B" w:rsidRPr="003B5C52" w:rsidRDefault="00F8399B" w:rsidP="00F8399B">
      <w:pPr>
        <w:spacing w:line="360" w:lineRule="auto"/>
        <w:ind w:right="49"/>
        <w:jc w:val="center"/>
        <w:rPr>
          <w:rFonts w:ascii="Arial" w:hAnsi="Arial" w:cs="Arial"/>
          <w:b/>
        </w:rPr>
      </w:pPr>
    </w:p>
    <w:p w14:paraId="5E0C7744" w14:textId="77777777" w:rsidR="00F8399B" w:rsidRPr="003B5C52" w:rsidRDefault="00F8399B" w:rsidP="00F8399B">
      <w:pPr>
        <w:spacing w:line="360" w:lineRule="auto"/>
        <w:ind w:right="49"/>
        <w:jc w:val="center"/>
        <w:rPr>
          <w:rFonts w:ascii="Arial" w:hAnsi="Arial" w:cs="Arial"/>
          <w:b/>
        </w:rPr>
      </w:pPr>
    </w:p>
    <w:p w14:paraId="4ECBABD3" w14:textId="64BD300D" w:rsidR="00AD5395" w:rsidRDefault="00B23523" w:rsidP="00995A30">
      <w:pPr>
        <w:spacing w:line="360" w:lineRule="auto"/>
        <w:ind w:right="49"/>
        <w:jc w:val="center"/>
        <w:rPr>
          <w:rFonts w:ascii="Arial" w:hAnsi="Arial" w:cs="Arial"/>
          <w:sz w:val="20"/>
          <w:szCs w:val="20"/>
        </w:rPr>
      </w:pPr>
      <w:r>
        <w:rPr>
          <w:rFonts w:ascii="Arial" w:hAnsi="Arial" w:cs="Arial"/>
          <w:b/>
        </w:rPr>
        <w:t>M. EN AUD.</w:t>
      </w:r>
      <w:r w:rsidR="00F8399B" w:rsidRPr="003B5C52">
        <w:rPr>
          <w:rFonts w:ascii="Arial" w:hAnsi="Arial" w:cs="Arial"/>
          <w:b/>
        </w:rPr>
        <w:t xml:space="preserve"> MANUEL</w:t>
      </w:r>
      <w:r w:rsidR="00F8399B" w:rsidRPr="00942DBF">
        <w:rPr>
          <w:rFonts w:ascii="Arial" w:hAnsi="Arial" w:cs="Arial"/>
          <w:b/>
        </w:rPr>
        <w:t xml:space="preserve"> PALACIOS HERRERA</w:t>
      </w:r>
    </w:p>
    <w:sectPr w:rsidR="00AD5395"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15B17" w14:textId="77777777" w:rsidR="00103C5B" w:rsidRDefault="00103C5B">
      <w:r>
        <w:separator/>
      </w:r>
    </w:p>
  </w:endnote>
  <w:endnote w:type="continuationSeparator" w:id="0">
    <w:p w14:paraId="5FA4A453" w14:textId="77777777" w:rsidR="00103C5B" w:rsidRDefault="00103C5B">
      <w:r>
        <w:continuationSeparator/>
      </w:r>
    </w:p>
  </w:endnote>
  <w:endnote w:type="continuationNotice" w:id="1">
    <w:p w14:paraId="35632D04" w14:textId="77777777" w:rsidR="00103C5B" w:rsidRDefault="00103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w:altName w:val="Times New Roman"/>
    <w:panose1 w:val="00000000000000000000"/>
    <w:charset w:val="00"/>
    <w:family w:val="roman"/>
    <w:notTrueType/>
    <w:pitch w:val="default"/>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678"/>
    </w:tblGrid>
    <w:tr w:rsidR="000005DB" w14:paraId="6A5BE9BB" w14:textId="77777777" w:rsidTr="0019434C">
      <w:tc>
        <w:tcPr>
          <w:tcW w:w="9678" w:type="dxa"/>
        </w:tcPr>
        <w:p w14:paraId="64429BB2" w14:textId="77777777" w:rsidR="000005DB" w:rsidRDefault="000005DB">
          <w:pPr>
            <w:pStyle w:val="Piedepgina"/>
            <w:jc w:val="right"/>
            <w:rPr>
              <w:rFonts w:ascii="Arial" w:hAnsi="Arial" w:cs="Arial"/>
              <w:b/>
              <w:sz w:val="18"/>
              <w:szCs w:val="18"/>
              <w:lang w:val="es-ES"/>
            </w:rPr>
          </w:pPr>
        </w:p>
      </w:tc>
    </w:tr>
  </w:tbl>
  <w:p w14:paraId="2DA073E8" w14:textId="285C2F61" w:rsidR="000005DB" w:rsidRPr="00B516B6" w:rsidRDefault="000005DB">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D0534F">
      <w:rPr>
        <w:rFonts w:ascii="Arial" w:hAnsi="Arial" w:cs="Arial"/>
        <w:b/>
        <w:bCs/>
        <w:noProof/>
        <w:sz w:val="18"/>
        <w:szCs w:val="18"/>
      </w:rPr>
      <w:t>26</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D0534F">
      <w:rPr>
        <w:rFonts w:ascii="Arial" w:hAnsi="Arial" w:cs="Arial"/>
        <w:b/>
        <w:bCs/>
        <w:noProof/>
        <w:sz w:val="18"/>
        <w:szCs w:val="18"/>
      </w:rPr>
      <w:t>27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77744" w14:textId="77777777" w:rsidR="00103C5B" w:rsidRDefault="00103C5B">
      <w:r>
        <w:separator/>
      </w:r>
    </w:p>
  </w:footnote>
  <w:footnote w:type="continuationSeparator" w:id="0">
    <w:p w14:paraId="7722990C" w14:textId="77777777" w:rsidR="00103C5B" w:rsidRDefault="00103C5B">
      <w:r>
        <w:continuationSeparator/>
      </w:r>
    </w:p>
  </w:footnote>
  <w:footnote w:type="continuationNotice" w:id="1">
    <w:p w14:paraId="5EAD1A43" w14:textId="77777777" w:rsidR="00103C5B" w:rsidRDefault="00103C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005DB" w:rsidRPr="006F757C" w14:paraId="56C9C28E" w14:textId="77777777" w:rsidTr="000D3767">
      <w:tc>
        <w:tcPr>
          <w:tcW w:w="2055" w:type="dxa"/>
          <w:vAlign w:val="center"/>
        </w:tcPr>
        <w:p w14:paraId="0C824F63" w14:textId="77777777" w:rsidR="000005DB" w:rsidRPr="00CF3DF4" w:rsidRDefault="000005DB"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0005DB" w:rsidRPr="00CF3DF4" w:rsidRDefault="000005DB" w:rsidP="00050C8E">
          <w:pPr>
            <w:tabs>
              <w:tab w:val="center" w:pos="4419"/>
              <w:tab w:val="right" w:pos="8838"/>
            </w:tabs>
            <w:jc w:val="center"/>
            <w:rPr>
              <w:rFonts w:ascii="Arial" w:hAnsi="Arial" w:cs="Arial"/>
              <w:sz w:val="18"/>
              <w:szCs w:val="18"/>
            </w:rPr>
          </w:pPr>
        </w:p>
      </w:tc>
      <w:tc>
        <w:tcPr>
          <w:tcW w:w="2030" w:type="dxa"/>
          <w:vAlign w:val="center"/>
        </w:tcPr>
        <w:p w14:paraId="00E11AB2" w14:textId="728E59C8" w:rsidR="000005DB" w:rsidRPr="00207E4F" w:rsidRDefault="000005DB" w:rsidP="00050C8E">
          <w:pPr>
            <w:tabs>
              <w:tab w:val="center" w:pos="4419"/>
              <w:tab w:val="right" w:pos="8838"/>
            </w:tabs>
            <w:jc w:val="right"/>
            <w:rPr>
              <w:rFonts w:ascii="Arial" w:hAnsi="Arial" w:cs="Arial"/>
              <w:noProof/>
              <w:sz w:val="16"/>
              <w:szCs w:val="16"/>
              <w:highlight w:val="magenta"/>
              <w:lang w:eastAsia="es-MX"/>
            </w:rPr>
          </w:pPr>
        </w:p>
      </w:tc>
    </w:tr>
    <w:tr w:rsidR="000005DB" w:rsidRPr="003316E8" w14:paraId="6A8BA69B" w14:textId="77777777" w:rsidTr="000D3767">
      <w:tc>
        <w:tcPr>
          <w:tcW w:w="2055" w:type="dxa"/>
          <w:vAlign w:val="center"/>
          <w:hideMark/>
        </w:tcPr>
        <w:p w14:paraId="15399BA7" w14:textId="77777777" w:rsidR="000005DB" w:rsidRPr="003316E8" w:rsidRDefault="000005DB" w:rsidP="00050C8E">
          <w:pPr>
            <w:tabs>
              <w:tab w:val="center" w:pos="4419"/>
              <w:tab w:val="right" w:pos="8838"/>
            </w:tabs>
            <w:jc w:val="center"/>
          </w:pPr>
          <w:r>
            <w:rPr>
              <w:noProof/>
              <w:lang w:eastAsia="es-MX"/>
            </w:rPr>
            <w:drawing>
              <wp:inline distT="0" distB="0" distL="0" distR="0" wp14:anchorId="43C66679" wp14:editId="2D561749">
                <wp:extent cx="885825" cy="123124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E152158" w14:textId="77777777" w:rsidR="000005DB" w:rsidRPr="00373686" w:rsidRDefault="000005DB"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0005DB" w:rsidRPr="003316E8" w:rsidRDefault="000005DB"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005DB" w:rsidRPr="003316E8" w14:paraId="7AB66ED2" w14:textId="77777777" w:rsidTr="000D3767">
      <w:tc>
        <w:tcPr>
          <w:tcW w:w="2055" w:type="dxa"/>
          <w:tcBorders>
            <w:top w:val="nil"/>
            <w:left w:val="nil"/>
            <w:bottom w:val="thinThickSmallGap" w:sz="24" w:space="0" w:color="auto"/>
            <w:right w:val="nil"/>
          </w:tcBorders>
        </w:tcPr>
        <w:p w14:paraId="0A8382D2" w14:textId="77777777" w:rsidR="000005DB" w:rsidRPr="003316E8" w:rsidRDefault="000005DB"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0005DB" w:rsidRPr="003316E8" w:rsidRDefault="000005DB"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0005DB" w:rsidRPr="003316E8" w:rsidRDefault="000005DB" w:rsidP="00050C8E">
          <w:pPr>
            <w:tabs>
              <w:tab w:val="center" w:pos="4419"/>
              <w:tab w:val="right" w:pos="8838"/>
            </w:tabs>
            <w:rPr>
              <w:sz w:val="10"/>
            </w:rPr>
          </w:pPr>
        </w:p>
      </w:tc>
    </w:tr>
  </w:tbl>
  <w:p w14:paraId="246477C3" w14:textId="77777777" w:rsidR="000005DB" w:rsidRPr="003C2FE7" w:rsidRDefault="000005DB">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3844"/>
    <w:multiLevelType w:val="hybridMultilevel"/>
    <w:tmpl w:val="A33247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B9602D"/>
    <w:multiLevelType w:val="hybridMultilevel"/>
    <w:tmpl w:val="6CF090C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BC581C"/>
    <w:multiLevelType w:val="hybridMultilevel"/>
    <w:tmpl w:val="F0B87D8C"/>
    <w:lvl w:ilvl="0" w:tplc="D4E01250">
      <w:start w:val="2"/>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6EA507D"/>
    <w:multiLevelType w:val="hybridMultilevel"/>
    <w:tmpl w:val="35D81B6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170302E7"/>
    <w:multiLevelType w:val="hybridMultilevel"/>
    <w:tmpl w:val="8D8CCEF4"/>
    <w:lvl w:ilvl="0" w:tplc="558EA5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254B10"/>
    <w:multiLevelType w:val="hybridMultilevel"/>
    <w:tmpl w:val="DD941A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C104437"/>
    <w:multiLevelType w:val="hybridMultilevel"/>
    <w:tmpl w:val="E7204342"/>
    <w:lvl w:ilvl="0" w:tplc="AC22403A">
      <w:start w:val="1"/>
      <w:numFmt w:val="decimal"/>
      <w:lvlText w:val="%1."/>
      <w:lvlJc w:val="left"/>
      <w:pPr>
        <w:ind w:left="765" w:hanging="360"/>
      </w:pPr>
      <w:rPr>
        <w:b w:val="0"/>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7" w15:restartNumberingAfterBreak="0">
    <w:nsid w:val="1C6B67CB"/>
    <w:multiLevelType w:val="hybridMultilevel"/>
    <w:tmpl w:val="4C8C28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543693"/>
    <w:multiLevelType w:val="hybridMultilevel"/>
    <w:tmpl w:val="28C430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00F1516"/>
    <w:multiLevelType w:val="hybridMultilevel"/>
    <w:tmpl w:val="6D7CB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44B0AE6"/>
    <w:multiLevelType w:val="hybridMultilevel"/>
    <w:tmpl w:val="18A604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0A0812"/>
    <w:multiLevelType w:val="hybridMultilevel"/>
    <w:tmpl w:val="BCB03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C82332"/>
    <w:multiLevelType w:val="hybridMultilevel"/>
    <w:tmpl w:val="3DF41A7C"/>
    <w:lvl w:ilvl="0" w:tplc="857A2ABE">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A6D20BA"/>
    <w:multiLevelType w:val="hybridMultilevel"/>
    <w:tmpl w:val="5FD030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B5347C"/>
    <w:multiLevelType w:val="hybridMultilevel"/>
    <w:tmpl w:val="72C68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C07B31"/>
    <w:multiLevelType w:val="hybridMultilevel"/>
    <w:tmpl w:val="8FE2534E"/>
    <w:lvl w:ilvl="0" w:tplc="B47A6462">
      <w:start w:val="1"/>
      <w:numFmt w:val="upp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B9683F"/>
    <w:multiLevelType w:val="hybridMultilevel"/>
    <w:tmpl w:val="CF2EB88A"/>
    <w:lvl w:ilvl="0" w:tplc="FFA8771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4635E4"/>
    <w:multiLevelType w:val="hybridMultilevel"/>
    <w:tmpl w:val="4E6AC5B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437E68D3"/>
    <w:multiLevelType w:val="hybridMultilevel"/>
    <w:tmpl w:val="5A62BA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B00C18"/>
    <w:multiLevelType w:val="hybridMultilevel"/>
    <w:tmpl w:val="A33247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18630E"/>
    <w:multiLevelType w:val="hybridMultilevel"/>
    <w:tmpl w:val="152C84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4F2C50"/>
    <w:multiLevelType w:val="hybridMultilevel"/>
    <w:tmpl w:val="8C6C85E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66E2F95"/>
    <w:multiLevelType w:val="hybridMultilevel"/>
    <w:tmpl w:val="51CA0CDA"/>
    <w:lvl w:ilvl="0" w:tplc="B546E48C">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92D11D1"/>
    <w:multiLevelType w:val="hybridMultilevel"/>
    <w:tmpl w:val="92E61056"/>
    <w:lvl w:ilvl="0" w:tplc="A97461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AC7F12"/>
    <w:multiLevelType w:val="hybridMultilevel"/>
    <w:tmpl w:val="6406B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372072B"/>
    <w:multiLevelType w:val="hybridMultilevel"/>
    <w:tmpl w:val="1DC20480"/>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0" w15:restartNumberingAfterBreak="0">
    <w:nsid w:val="54533323"/>
    <w:multiLevelType w:val="hybridMultilevel"/>
    <w:tmpl w:val="1CEE2966"/>
    <w:lvl w:ilvl="0" w:tplc="F454D66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D0016A"/>
    <w:multiLevelType w:val="hybridMultilevel"/>
    <w:tmpl w:val="6040E522"/>
    <w:lvl w:ilvl="0" w:tplc="D5C694B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660F23"/>
    <w:multiLevelType w:val="hybridMultilevel"/>
    <w:tmpl w:val="B67AEFC8"/>
    <w:lvl w:ilvl="0" w:tplc="43BE4886">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BB4703"/>
    <w:multiLevelType w:val="hybridMultilevel"/>
    <w:tmpl w:val="0368EED4"/>
    <w:lvl w:ilvl="0" w:tplc="E8BAEDD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303EB2"/>
    <w:multiLevelType w:val="hybridMultilevel"/>
    <w:tmpl w:val="44CA8000"/>
    <w:lvl w:ilvl="0" w:tplc="D280EE86">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977BFD"/>
    <w:multiLevelType w:val="hybridMultilevel"/>
    <w:tmpl w:val="6040E522"/>
    <w:lvl w:ilvl="0" w:tplc="D5C694B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6A73B2"/>
    <w:multiLevelType w:val="hybridMultilevel"/>
    <w:tmpl w:val="F02A10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00474F"/>
    <w:multiLevelType w:val="hybridMultilevel"/>
    <w:tmpl w:val="D8C6E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7AF3842"/>
    <w:multiLevelType w:val="hybridMultilevel"/>
    <w:tmpl w:val="12A803E6"/>
    <w:lvl w:ilvl="0" w:tplc="96CCA8D8">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51077D"/>
    <w:multiLevelType w:val="hybridMultilevel"/>
    <w:tmpl w:val="CF8852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0E71F4"/>
    <w:multiLevelType w:val="multilevel"/>
    <w:tmpl w:val="DD443888"/>
    <w:lvl w:ilvl="0">
      <w:start w:val="1"/>
      <w:numFmt w:val="decimal"/>
      <w:lvlText w:val="%1."/>
      <w:lvlJc w:val="left"/>
      <w:pPr>
        <w:ind w:left="360" w:hanging="360"/>
      </w:pPr>
      <w:rPr>
        <w:b w:val="0"/>
      </w:rPr>
    </w:lvl>
    <w:lvl w:ilvl="1">
      <w:start w:val="1"/>
      <w:numFmt w:val="lowerLetter"/>
      <w:lvlText w:val="%2."/>
      <w:lvlJc w:val="left"/>
      <w:pPr>
        <w:ind w:left="-1538" w:hanging="360"/>
      </w:pPr>
    </w:lvl>
    <w:lvl w:ilvl="2">
      <w:start w:val="1"/>
      <w:numFmt w:val="lowerRoman"/>
      <w:lvlText w:val="%3."/>
      <w:lvlJc w:val="right"/>
      <w:pPr>
        <w:ind w:left="-818" w:hanging="180"/>
      </w:pPr>
    </w:lvl>
    <w:lvl w:ilvl="3">
      <w:start w:val="1"/>
      <w:numFmt w:val="decimal"/>
      <w:lvlText w:val="%4."/>
      <w:lvlJc w:val="left"/>
      <w:pPr>
        <w:ind w:left="-98" w:hanging="360"/>
      </w:pPr>
    </w:lvl>
    <w:lvl w:ilvl="4">
      <w:start w:val="1"/>
      <w:numFmt w:val="lowerLetter"/>
      <w:lvlText w:val="%5."/>
      <w:lvlJc w:val="left"/>
      <w:pPr>
        <w:ind w:left="622" w:hanging="360"/>
      </w:pPr>
    </w:lvl>
    <w:lvl w:ilvl="5">
      <w:start w:val="1"/>
      <w:numFmt w:val="lowerRoman"/>
      <w:lvlText w:val="%6."/>
      <w:lvlJc w:val="right"/>
      <w:pPr>
        <w:ind w:left="1342" w:hanging="180"/>
      </w:pPr>
    </w:lvl>
    <w:lvl w:ilvl="6">
      <w:start w:val="1"/>
      <w:numFmt w:val="decimal"/>
      <w:lvlText w:val="%7."/>
      <w:lvlJc w:val="left"/>
      <w:pPr>
        <w:ind w:left="2062" w:hanging="360"/>
      </w:pPr>
    </w:lvl>
    <w:lvl w:ilvl="7">
      <w:start w:val="1"/>
      <w:numFmt w:val="lowerLetter"/>
      <w:lvlText w:val="%8."/>
      <w:lvlJc w:val="left"/>
      <w:pPr>
        <w:ind w:left="2782" w:hanging="360"/>
      </w:pPr>
    </w:lvl>
    <w:lvl w:ilvl="8">
      <w:start w:val="1"/>
      <w:numFmt w:val="lowerRoman"/>
      <w:lvlText w:val="%9."/>
      <w:lvlJc w:val="right"/>
      <w:pPr>
        <w:ind w:left="3502" w:hanging="180"/>
      </w:pPr>
    </w:lvl>
  </w:abstractNum>
  <w:abstractNum w:abstractNumId="42" w15:restartNumberingAfterBreak="0">
    <w:nsid w:val="79B4322D"/>
    <w:multiLevelType w:val="hybridMultilevel"/>
    <w:tmpl w:val="265A9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B071541"/>
    <w:multiLevelType w:val="hybridMultilevel"/>
    <w:tmpl w:val="09DC9C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38"/>
  </w:num>
  <w:num w:numId="4">
    <w:abstractNumId w:val="15"/>
  </w:num>
  <w:num w:numId="5">
    <w:abstractNumId w:val="18"/>
  </w:num>
  <w:num w:numId="6">
    <w:abstractNumId w:val="26"/>
  </w:num>
  <w:num w:numId="7">
    <w:abstractNumId w:val="28"/>
  </w:num>
  <w:num w:numId="8">
    <w:abstractNumId w:val="4"/>
  </w:num>
  <w:num w:numId="9">
    <w:abstractNumId w:val="14"/>
  </w:num>
  <w:num w:numId="10">
    <w:abstractNumId w:val="36"/>
  </w:num>
  <w:num w:numId="11">
    <w:abstractNumId w:val="22"/>
  </w:num>
  <w:num w:numId="12">
    <w:abstractNumId w:val="3"/>
  </w:num>
  <w:num w:numId="13">
    <w:abstractNumId w:val="20"/>
  </w:num>
  <w:num w:numId="14">
    <w:abstractNumId w:val="5"/>
  </w:num>
  <w:num w:numId="15">
    <w:abstractNumId w:val="24"/>
  </w:num>
  <w:num w:numId="16">
    <w:abstractNumId w:val="43"/>
  </w:num>
  <w:num w:numId="17">
    <w:abstractNumId w:val="35"/>
  </w:num>
  <w:num w:numId="18">
    <w:abstractNumId w:val="31"/>
  </w:num>
  <w:num w:numId="19">
    <w:abstractNumId w:val="6"/>
  </w:num>
  <w:num w:numId="20">
    <w:abstractNumId w:val="29"/>
  </w:num>
  <w:num w:numId="21">
    <w:abstractNumId w:val="40"/>
  </w:num>
  <w:num w:numId="22">
    <w:abstractNumId w:val="34"/>
  </w:num>
  <w:num w:numId="23">
    <w:abstractNumId w:val="25"/>
  </w:num>
  <w:num w:numId="24">
    <w:abstractNumId w:val="32"/>
  </w:num>
  <w:num w:numId="25">
    <w:abstractNumId w:val="8"/>
  </w:num>
  <w:num w:numId="26">
    <w:abstractNumId w:val="0"/>
  </w:num>
  <w:num w:numId="27">
    <w:abstractNumId w:val="33"/>
  </w:num>
  <w:num w:numId="28">
    <w:abstractNumId w:val="42"/>
  </w:num>
  <w:num w:numId="29">
    <w:abstractNumId w:val="41"/>
  </w:num>
  <w:num w:numId="30">
    <w:abstractNumId w:val="16"/>
  </w:num>
  <w:num w:numId="31">
    <w:abstractNumId w:val="21"/>
  </w:num>
  <w:num w:numId="32">
    <w:abstractNumId w:val="7"/>
  </w:num>
  <w:num w:numId="33">
    <w:abstractNumId w:val="19"/>
  </w:num>
  <w:num w:numId="34">
    <w:abstractNumId w:val="12"/>
  </w:num>
  <w:num w:numId="35">
    <w:abstractNumId w:val="30"/>
  </w:num>
  <w:num w:numId="36">
    <w:abstractNumId w:val="39"/>
  </w:num>
  <w:num w:numId="37">
    <w:abstractNumId w:val="2"/>
  </w:num>
  <w:num w:numId="38">
    <w:abstractNumId w:val="27"/>
  </w:num>
  <w:num w:numId="39">
    <w:abstractNumId w:val="23"/>
  </w:num>
  <w:num w:numId="40">
    <w:abstractNumId w:val="37"/>
  </w:num>
  <w:num w:numId="41">
    <w:abstractNumId w:val="10"/>
  </w:num>
  <w:num w:numId="42">
    <w:abstractNumId w:val="1"/>
  </w:num>
  <w:num w:numId="43">
    <w:abstractNumId w:val="17"/>
  </w:num>
  <w:num w:numId="4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5DB"/>
    <w:rsid w:val="00000AEE"/>
    <w:rsid w:val="00000B8B"/>
    <w:rsid w:val="00000D21"/>
    <w:rsid w:val="00000F2E"/>
    <w:rsid w:val="00000F9B"/>
    <w:rsid w:val="000013D6"/>
    <w:rsid w:val="00001B26"/>
    <w:rsid w:val="00002A9E"/>
    <w:rsid w:val="00002BE9"/>
    <w:rsid w:val="000030ED"/>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0ECC"/>
    <w:rsid w:val="00010F6F"/>
    <w:rsid w:val="0001109F"/>
    <w:rsid w:val="00011942"/>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164"/>
    <w:rsid w:val="00024808"/>
    <w:rsid w:val="00024A7E"/>
    <w:rsid w:val="00024AE6"/>
    <w:rsid w:val="00024C6D"/>
    <w:rsid w:val="00025095"/>
    <w:rsid w:val="000260E2"/>
    <w:rsid w:val="0002628B"/>
    <w:rsid w:val="000264DA"/>
    <w:rsid w:val="00026880"/>
    <w:rsid w:val="00026D28"/>
    <w:rsid w:val="00026F57"/>
    <w:rsid w:val="00027270"/>
    <w:rsid w:val="0002740F"/>
    <w:rsid w:val="000309FB"/>
    <w:rsid w:val="00030B5F"/>
    <w:rsid w:val="00030BBF"/>
    <w:rsid w:val="00030C5F"/>
    <w:rsid w:val="00030DC0"/>
    <w:rsid w:val="0003121C"/>
    <w:rsid w:val="00031920"/>
    <w:rsid w:val="0003204A"/>
    <w:rsid w:val="000321D6"/>
    <w:rsid w:val="000322E4"/>
    <w:rsid w:val="00032EC2"/>
    <w:rsid w:val="0003312F"/>
    <w:rsid w:val="000333C2"/>
    <w:rsid w:val="00033651"/>
    <w:rsid w:val="000338D8"/>
    <w:rsid w:val="000338F3"/>
    <w:rsid w:val="00033A45"/>
    <w:rsid w:val="00034220"/>
    <w:rsid w:val="00034932"/>
    <w:rsid w:val="00034FE1"/>
    <w:rsid w:val="00035255"/>
    <w:rsid w:val="000354F3"/>
    <w:rsid w:val="00035575"/>
    <w:rsid w:val="0003558D"/>
    <w:rsid w:val="000357F2"/>
    <w:rsid w:val="00036041"/>
    <w:rsid w:val="000364AA"/>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4C7B"/>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5654"/>
    <w:rsid w:val="0005586C"/>
    <w:rsid w:val="00055A2C"/>
    <w:rsid w:val="00055AD0"/>
    <w:rsid w:val="0005619C"/>
    <w:rsid w:val="00056263"/>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619E"/>
    <w:rsid w:val="00070DAC"/>
    <w:rsid w:val="00070DE6"/>
    <w:rsid w:val="00071C39"/>
    <w:rsid w:val="00072578"/>
    <w:rsid w:val="00072BEF"/>
    <w:rsid w:val="00073637"/>
    <w:rsid w:val="000736B8"/>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982"/>
    <w:rsid w:val="00086D09"/>
    <w:rsid w:val="0008729E"/>
    <w:rsid w:val="000877E7"/>
    <w:rsid w:val="00087E9E"/>
    <w:rsid w:val="00090626"/>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084"/>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9C2"/>
    <w:rsid w:val="000B1ACB"/>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E1D"/>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767"/>
    <w:rsid w:val="000D3B11"/>
    <w:rsid w:val="000D3BBE"/>
    <w:rsid w:val="000D3FAF"/>
    <w:rsid w:val="000D4209"/>
    <w:rsid w:val="000D4CF3"/>
    <w:rsid w:val="000D4F51"/>
    <w:rsid w:val="000D5404"/>
    <w:rsid w:val="000D58B0"/>
    <w:rsid w:val="000D5F86"/>
    <w:rsid w:val="000D60B2"/>
    <w:rsid w:val="000D6793"/>
    <w:rsid w:val="000D69C8"/>
    <w:rsid w:val="000D73C4"/>
    <w:rsid w:val="000E063B"/>
    <w:rsid w:val="000E129C"/>
    <w:rsid w:val="000E191A"/>
    <w:rsid w:val="000E2B05"/>
    <w:rsid w:val="000E3086"/>
    <w:rsid w:val="000E308D"/>
    <w:rsid w:val="000E3976"/>
    <w:rsid w:val="000E3AD7"/>
    <w:rsid w:val="000E3F1B"/>
    <w:rsid w:val="000E4C4E"/>
    <w:rsid w:val="000E4E46"/>
    <w:rsid w:val="000E536B"/>
    <w:rsid w:val="000E66FC"/>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3C5B"/>
    <w:rsid w:val="00104750"/>
    <w:rsid w:val="0010484E"/>
    <w:rsid w:val="00104ABC"/>
    <w:rsid w:val="00104F6B"/>
    <w:rsid w:val="00105183"/>
    <w:rsid w:val="00105807"/>
    <w:rsid w:val="00105A9E"/>
    <w:rsid w:val="00105D1B"/>
    <w:rsid w:val="00105E3A"/>
    <w:rsid w:val="00105EAD"/>
    <w:rsid w:val="00105FBD"/>
    <w:rsid w:val="001061EE"/>
    <w:rsid w:val="00106645"/>
    <w:rsid w:val="001066B1"/>
    <w:rsid w:val="00106C5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001"/>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476DB"/>
    <w:rsid w:val="00150790"/>
    <w:rsid w:val="00150B34"/>
    <w:rsid w:val="0015102B"/>
    <w:rsid w:val="00151CA2"/>
    <w:rsid w:val="00151DF1"/>
    <w:rsid w:val="001520D6"/>
    <w:rsid w:val="00152310"/>
    <w:rsid w:val="001525A9"/>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80B"/>
    <w:rsid w:val="00175B99"/>
    <w:rsid w:val="00175E39"/>
    <w:rsid w:val="00175F7E"/>
    <w:rsid w:val="001775AF"/>
    <w:rsid w:val="0017767D"/>
    <w:rsid w:val="00177D30"/>
    <w:rsid w:val="00177E0A"/>
    <w:rsid w:val="00180442"/>
    <w:rsid w:val="00180BC3"/>
    <w:rsid w:val="00180BE3"/>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3CE"/>
    <w:rsid w:val="00187716"/>
    <w:rsid w:val="001877E6"/>
    <w:rsid w:val="001901D4"/>
    <w:rsid w:val="001901F7"/>
    <w:rsid w:val="00190D09"/>
    <w:rsid w:val="00190D5D"/>
    <w:rsid w:val="00191C17"/>
    <w:rsid w:val="00192309"/>
    <w:rsid w:val="00192DE1"/>
    <w:rsid w:val="00193105"/>
    <w:rsid w:val="00193709"/>
    <w:rsid w:val="00193C02"/>
    <w:rsid w:val="00194327"/>
    <w:rsid w:val="0019434C"/>
    <w:rsid w:val="001943CA"/>
    <w:rsid w:val="00194B53"/>
    <w:rsid w:val="00194EAC"/>
    <w:rsid w:val="0019551E"/>
    <w:rsid w:val="0019558F"/>
    <w:rsid w:val="00195F97"/>
    <w:rsid w:val="0019607A"/>
    <w:rsid w:val="001964BB"/>
    <w:rsid w:val="00196503"/>
    <w:rsid w:val="001971A8"/>
    <w:rsid w:val="00197E18"/>
    <w:rsid w:val="00197F01"/>
    <w:rsid w:val="001A09C4"/>
    <w:rsid w:val="001A0B4C"/>
    <w:rsid w:val="001A0F63"/>
    <w:rsid w:val="001A122C"/>
    <w:rsid w:val="001A15C4"/>
    <w:rsid w:val="001A1D4D"/>
    <w:rsid w:val="001A2623"/>
    <w:rsid w:val="001A2DB9"/>
    <w:rsid w:val="001A34BC"/>
    <w:rsid w:val="001A37F9"/>
    <w:rsid w:val="001A38C7"/>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0D8"/>
    <w:rsid w:val="001B2376"/>
    <w:rsid w:val="001B2AD9"/>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7FA"/>
    <w:rsid w:val="001D284A"/>
    <w:rsid w:val="001D2941"/>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030"/>
    <w:rsid w:val="001E4E41"/>
    <w:rsid w:val="001E4F01"/>
    <w:rsid w:val="001E5090"/>
    <w:rsid w:val="001E5C60"/>
    <w:rsid w:val="001E7020"/>
    <w:rsid w:val="001E7072"/>
    <w:rsid w:val="001E71B0"/>
    <w:rsid w:val="001E7257"/>
    <w:rsid w:val="001F0446"/>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1FA4"/>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5A"/>
    <w:rsid w:val="002337F2"/>
    <w:rsid w:val="0023402F"/>
    <w:rsid w:val="00234492"/>
    <w:rsid w:val="00234687"/>
    <w:rsid w:val="00234CE3"/>
    <w:rsid w:val="00234FDC"/>
    <w:rsid w:val="00235244"/>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77FC3"/>
    <w:rsid w:val="002805F5"/>
    <w:rsid w:val="00281232"/>
    <w:rsid w:val="0028172B"/>
    <w:rsid w:val="002819E4"/>
    <w:rsid w:val="00281C13"/>
    <w:rsid w:val="00282853"/>
    <w:rsid w:val="00283AC8"/>
    <w:rsid w:val="00283B7C"/>
    <w:rsid w:val="002843A2"/>
    <w:rsid w:val="0028441E"/>
    <w:rsid w:val="00284B51"/>
    <w:rsid w:val="00285075"/>
    <w:rsid w:val="0028535D"/>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1DD"/>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5BBE"/>
    <w:rsid w:val="002B615B"/>
    <w:rsid w:val="002B63B6"/>
    <w:rsid w:val="002B6B1E"/>
    <w:rsid w:val="002B6C81"/>
    <w:rsid w:val="002B7054"/>
    <w:rsid w:val="002B788C"/>
    <w:rsid w:val="002C0482"/>
    <w:rsid w:val="002C0EC0"/>
    <w:rsid w:val="002C0ECF"/>
    <w:rsid w:val="002C11F6"/>
    <w:rsid w:val="002C135B"/>
    <w:rsid w:val="002C15E8"/>
    <w:rsid w:val="002C1C4A"/>
    <w:rsid w:val="002C24DE"/>
    <w:rsid w:val="002C2634"/>
    <w:rsid w:val="002C270D"/>
    <w:rsid w:val="002C2CA8"/>
    <w:rsid w:val="002C31BD"/>
    <w:rsid w:val="002C3450"/>
    <w:rsid w:val="002C35CF"/>
    <w:rsid w:val="002C3968"/>
    <w:rsid w:val="002C3A68"/>
    <w:rsid w:val="002C3B60"/>
    <w:rsid w:val="002C421A"/>
    <w:rsid w:val="002C436F"/>
    <w:rsid w:val="002C4539"/>
    <w:rsid w:val="002C4621"/>
    <w:rsid w:val="002C497B"/>
    <w:rsid w:val="002C4A4A"/>
    <w:rsid w:val="002C4A6E"/>
    <w:rsid w:val="002C4CC3"/>
    <w:rsid w:val="002C5103"/>
    <w:rsid w:val="002C51E0"/>
    <w:rsid w:val="002C551B"/>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1D"/>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3B6"/>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7A2"/>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C6C"/>
    <w:rsid w:val="00315DC2"/>
    <w:rsid w:val="00315FDF"/>
    <w:rsid w:val="0031607C"/>
    <w:rsid w:val="00316886"/>
    <w:rsid w:val="0031694C"/>
    <w:rsid w:val="0031738C"/>
    <w:rsid w:val="0031750F"/>
    <w:rsid w:val="0031779A"/>
    <w:rsid w:val="0031787B"/>
    <w:rsid w:val="00317CB9"/>
    <w:rsid w:val="00317DFD"/>
    <w:rsid w:val="00320F32"/>
    <w:rsid w:val="0032112A"/>
    <w:rsid w:val="003213E6"/>
    <w:rsid w:val="00321DC0"/>
    <w:rsid w:val="00322873"/>
    <w:rsid w:val="003228D3"/>
    <w:rsid w:val="00322A8A"/>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2B"/>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A58"/>
    <w:rsid w:val="00332B93"/>
    <w:rsid w:val="00332D0F"/>
    <w:rsid w:val="003337E0"/>
    <w:rsid w:val="00333A88"/>
    <w:rsid w:val="00333E55"/>
    <w:rsid w:val="00334352"/>
    <w:rsid w:val="003345B8"/>
    <w:rsid w:val="003349E4"/>
    <w:rsid w:val="00334B4E"/>
    <w:rsid w:val="003350C3"/>
    <w:rsid w:val="00335AD2"/>
    <w:rsid w:val="0033633B"/>
    <w:rsid w:val="00336880"/>
    <w:rsid w:val="00336C9C"/>
    <w:rsid w:val="003372E1"/>
    <w:rsid w:val="00337686"/>
    <w:rsid w:val="00337BF5"/>
    <w:rsid w:val="00337CF4"/>
    <w:rsid w:val="00337E7C"/>
    <w:rsid w:val="003418B1"/>
    <w:rsid w:val="00341918"/>
    <w:rsid w:val="00341A5E"/>
    <w:rsid w:val="00341BC5"/>
    <w:rsid w:val="00341D6A"/>
    <w:rsid w:val="00341EA2"/>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0FE"/>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6C8"/>
    <w:rsid w:val="00365F93"/>
    <w:rsid w:val="0036676E"/>
    <w:rsid w:val="00366C80"/>
    <w:rsid w:val="00366DDC"/>
    <w:rsid w:val="003671A5"/>
    <w:rsid w:val="0036763A"/>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2D2F"/>
    <w:rsid w:val="00383035"/>
    <w:rsid w:val="003831EA"/>
    <w:rsid w:val="0038410B"/>
    <w:rsid w:val="003848AE"/>
    <w:rsid w:val="00384FB5"/>
    <w:rsid w:val="003855AF"/>
    <w:rsid w:val="00385896"/>
    <w:rsid w:val="00385BD6"/>
    <w:rsid w:val="00385E14"/>
    <w:rsid w:val="003861BE"/>
    <w:rsid w:val="003863D1"/>
    <w:rsid w:val="00386833"/>
    <w:rsid w:val="0038687A"/>
    <w:rsid w:val="00386B0A"/>
    <w:rsid w:val="00386BC3"/>
    <w:rsid w:val="00386E5B"/>
    <w:rsid w:val="00387538"/>
    <w:rsid w:val="0039013D"/>
    <w:rsid w:val="003912ED"/>
    <w:rsid w:val="00391349"/>
    <w:rsid w:val="0039137C"/>
    <w:rsid w:val="00391811"/>
    <w:rsid w:val="003919CA"/>
    <w:rsid w:val="00391B50"/>
    <w:rsid w:val="00391CA7"/>
    <w:rsid w:val="00391ECB"/>
    <w:rsid w:val="00391F2C"/>
    <w:rsid w:val="00392BD7"/>
    <w:rsid w:val="00392F1E"/>
    <w:rsid w:val="00393267"/>
    <w:rsid w:val="00393345"/>
    <w:rsid w:val="0039341D"/>
    <w:rsid w:val="00393931"/>
    <w:rsid w:val="00393CCB"/>
    <w:rsid w:val="00394758"/>
    <w:rsid w:val="00395576"/>
    <w:rsid w:val="003956E0"/>
    <w:rsid w:val="003959BD"/>
    <w:rsid w:val="00395F62"/>
    <w:rsid w:val="00395FD2"/>
    <w:rsid w:val="00396235"/>
    <w:rsid w:val="00397D55"/>
    <w:rsid w:val="003A0D28"/>
    <w:rsid w:val="003A2AC1"/>
    <w:rsid w:val="003A2CA3"/>
    <w:rsid w:val="003A3DBB"/>
    <w:rsid w:val="003A43BD"/>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62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0F26"/>
    <w:rsid w:val="003D3CC6"/>
    <w:rsid w:val="003D3F0F"/>
    <w:rsid w:val="003D45FB"/>
    <w:rsid w:val="003D4F9C"/>
    <w:rsid w:val="003D5AE3"/>
    <w:rsid w:val="003D5F5D"/>
    <w:rsid w:val="003D6569"/>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6B8"/>
    <w:rsid w:val="003E3876"/>
    <w:rsid w:val="003E41E2"/>
    <w:rsid w:val="003E480A"/>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C47"/>
    <w:rsid w:val="003F4DBC"/>
    <w:rsid w:val="003F5C00"/>
    <w:rsid w:val="003F694F"/>
    <w:rsid w:val="003F6DB4"/>
    <w:rsid w:val="003F713B"/>
    <w:rsid w:val="003F7421"/>
    <w:rsid w:val="003F7596"/>
    <w:rsid w:val="00400B70"/>
    <w:rsid w:val="00400EF4"/>
    <w:rsid w:val="004011C8"/>
    <w:rsid w:val="004016CD"/>
    <w:rsid w:val="00401890"/>
    <w:rsid w:val="004018BF"/>
    <w:rsid w:val="00401D35"/>
    <w:rsid w:val="004032BB"/>
    <w:rsid w:val="004037CA"/>
    <w:rsid w:val="00403B58"/>
    <w:rsid w:val="00403C04"/>
    <w:rsid w:val="00403D69"/>
    <w:rsid w:val="004043C5"/>
    <w:rsid w:val="00404F40"/>
    <w:rsid w:val="00405378"/>
    <w:rsid w:val="004068C4"/>
    <w:rsid w:val="00406B90"/>
    <w:rsid w:val="00406F79"/>
    <w:rsid w:val="00406FF6"/>
    <w:rsid w:val="00407617"/>
    <w:rsid w:val="00407EA8"/>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6329"/>
    <w:rsid w:val="0041632B"/>
    <w:rsid w:val="00416461"/>
    <w:rsid w:val="00416606"/>
    <w:rsid w:val="00417875"/>
    <w:rsid w:val="00417A61"/>
    <w:rsid w:val="00417D5E"/>
    <w:rsid w:val="00420184"/>
    <w:rsid w:val="004211CC"/>
    <w:rsid w:val="00421316"/>
    <w:rsid w:val="004216DC"/>
    <w:rsid w:val="00421D4B"/>
    <w:rsid w:val="00422116"/>
    <w:rsid w:val="0042253D"/>
    <w:rsid w:val="00422A17"/>
    <w:rsid w:val="00423028"/>
    <w:rsid w:val="004234F8"/>
    <w:rsid w:val="004236D9"/>
    <w:rsid w:val="00423743"/>
    <w:rsid w:val="00423F44"/>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3B10"/>
    <w:rsid w:val="004344E4"/>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281"/>
    <w:rsid w:val="00441A80"/>
    <w:rsid w:val="0044354A"/>
    <w:rsid w:val="00443B9D"/>
    <w:rsid w:val="00444375"/>
    <w:rsid w:val="004444BA"/>
    <w:rsid w:val="004452CB"/>
    <w:rsid w:val="00445300"/>
    <w:rsid w:val="004458DF"/>
    <w:rsid w:val="00445ADA"/>
    <w:rsid w:val="00445FAD"/>
    <w:rsid w:val="004467F3"/>
    <w:rsid w:val="00446DAA"/>
    <w:rsid w:val="00446ED1"/>
    <w:rsid w:val="00446EE8"/>
    <w:rsid w:val="00447822"/>
    <w:rsid w:val="00447874"/>
    <w:rsid w:val="00450132"/>
    <w:rsid w:val="004508C5"/>
    <w:rsid w:val="00451E58"/>
    <w:rsid w:val="00452078"/>
    <w:rsid w:val="00452319"/>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7FF"/>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5EB"/>
    <w:rsid w:val="0048697E"/>
    <w:rsid w:val="00486F87"/>
    <w:rsid w:val="00486F8E"/>
    <w:rsid w:val="00487614"/>
    <w:rsid w:val="00487A0C"/>
    <w:rsid w:val="00490AC6"/>
    <w:rsid w:val="00490BE4"/>
    <w:rsid w:val="00490F0E"/>
    <w:rsid w:val="0049112B"/>
    <w:rsid w:val="00491677"/>
    <w:rsid w:val="00491E14"/>
    <w:rsid w:val="0049235A"/>
    <w:rsid w:val="00492E1F"/>
    <w:rsid w:val="00493994"/>
    <w:rsid w:val="0049466F"/>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0F30"/>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66D"/>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C0B"/>
    <w:rsid w:val="004C1EE1"/>
    <w:rsid w:val="004C248F"/>
    <w:rsid w:val="004C3683"/>
    <w:rsid w:val="004C36DF"/>
    <w:rsid w:val="004C3B0B"/>
    <w:rsid w:val="004C40B3"/>
    <w:rsid w:val="004C5050"/>
    <w:rsid w:val="004C5390"/>
    <w:rsid w:val="004C53F0"/>
    <w:rsid w:val="004C544F"/>
    <w:rsid w:val="004C593A"/>
    <w:rsid w:val="004C5BC1"/>
    <w:rsid w:val="004C6130"/>
    <w:rsid w:val="004C6239"/>
    <w:rsid w:val="004C6280"/>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E11"/>
    <w:rsid w:val="004D52B6"/>
    <w:rsid w:val="004D52D0"/>
    <w:rsid w:val="004D53DE"/>
    <w:rsid w:val="004D5675"/>
    <w:rsid w:val="004D601B"/>
    <w:rsid w:val="004D6342"/>
    <w:rsid w:val="004D64F4"/>
    <w:rsid w:val="004D6764"/>
    <w:rsid w:val="004D6967"/>
    <w:rsid w:val="004D6F62"/>
    <w:rsid w:val="004D6F89"/>
    <w:rsid w:val="004D7302"/>
    <w:rsid w:val="004D7842"/>
    <w:rsid w:val="004D7945"/>
    <w:rsid w:val="004E1124"/>
    <w:rsid w:val="004E11EA"/>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6D07"/>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78"/>
    <w:rsid w:val="004F60A1"/>
    <w:rsid w:val="004F6B21"/>
    <w:rsid w:val="004F6D4F"/>
    <w:rsid w:val="004F7919"/>
    <w:rsid w:val="004F7AEF"/>
    <w:rsid w:val="005002D6"/>
    <w:rsid w:val="00501C22"/>
    <w:rsid w:val="00502566"/>
    <w:rsid w:val="005035D9"/>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26C"/>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4206"/>
    <w:rsid w:val="00535391"/>
    <w:rsid w:val="00535E07"/>
    <w:rsid w:val="005360FE"/>
    <w:rsid w:val="00536763"/>
    <w:rsid w:val="005377EE"/>
    <w:rsid w:val="00537E62"/>
    <w:rsid w:val="00540143"/>
    <w:rsid w:val="00540194"/>
    <w:rsid w:val="00540459"/>
    <w:rsid w:val="0054120E"/>
    <w:rsid w:val="005417D1"/>
    <w:rsid w:val="00541C99"/>
    <w:rsid w:val="005424EE"/>
    <w:rsid w:val="00542682"/>
    <w:rsid w:val="00542772"/>
    <w:rsid w:val="005432A1"/>
    <w:rsid w:val="00543FB6"/>
    <w:rsid w:val="00544466"/>
    <w:rsid w:val="00544D32"/>
    <w:rsid w:val="0054546F"/>
    <w:rsid w:val="0054579D"/>
    <w:rsid w:val="00545C02"/>
    <w:rsid w:val="00546AAD"/>
    <w:rsid w:val="00547672"/>
    <w:rsid w:val="0055001B"/>
    <w:rsid w:val="005500E6"/>
    <w:rsid w:val="00550149"/>
    <w:rsid w:val="00550288"/>
    <w:rsid w:val="0055041B"/>
    <w:rsid w:val="00550DC1"/>
    <w:rsid w:val="00551059"/>
    <w:rsid w:val="00551836"/>
    <w:rsid w:val="0055184C"/>
    <w:rsid w:val="00551B40"/>
    <w:rsid w:val="00551E47"/>
    <w:rsid w:val="005527AF"/>
    <w:rsid w:val="00552F09"/>
    <w:rsid w:val="00552FEE"/>
    <w:rsid w:val="005530FC"/>
    <w:rsid w:val="005539C6"/>
    <w:rsid w:val="00554450"/>
    <w:rsid w:val="00554C86"/>
    <w:rsid w:val="00554D29"/>
    <w:rsid w:val="00556314"/>
    <w:rsid w:val="005564AC"/>
    <w:rsid w:val="0055725E"/>
    <w:rsid w:val="005574AE"/>
    <w:rsid w:val="00557DA5"/>
    <w:rsid w:val="005604F7"/>
    <w:rsid w:val="005608AE"/>
    <w:rsid w:val="00560C76"/>
    <w:rsid w:val="005610F9"/>
    <w:rsid w:val="00561201"/>
    <w:rsid w:val="00561220"/>
    <w:rsid w:val="005615EE"/>
    <w:rsid w:val="00561A52"/>
    <w:rsid w:val="00562DB2"/>
    <w:rsid w:val="00562DC8"/>
    <w:rsid w:val="0056300B"/>
    <w:rsid w:val="0056449D"/>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54D3"/>
    <w:rsid w:val="00576976"/>
    <w:rsid w:val="00576FE9"/>
    <w:rsid w:val="0057765A"/>
    <w:rsid w:val="005778CA"/>
    <w:rsid w:val="00580231"/>
    <w:rsid w:val="005804AD"/>
    <w:rsid w:val="0058231E"/>
    <w:rsid w:val="00582E7D"/>
    <w:rsid w:val="0058307D"/>
    <w:rsid w:val="00583F73"/>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ABA"/>
    <w:rsid w:val="0059420B"/>
    <w:rsid w:val="00594965"/>
    <w:rsid w:val="00594F76"/>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396"/>
    <w:rsid w:val="005B1C01"/>
    <w:rsid w:val="005B2644"/>
    <w:rsid w:val="005B2786"/>
    <w:rsid w:val="005B32BD"/>
    <w:rsid w:val="005B3690"/>
    <w:rsid w:val="005B4051"/>
    <w:rsid w:val="005B4384"/>
    <w:rsid w:val="005B4413"/>
    <w:rsid w:val="005B4471"/>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0B"/>
    <w:rsid w:val="005C7ECB"/>
    <w:rsid w:val="005D0A1E"/>
    <w:rsid w:val="005D143B"/>
    <w:rsid w:val="005D14A5"/>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C5D"/>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122"/>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9"/>
    <w:rsid w:val="00622863"/>
    <w:rsid w:val="0062297B"/>
    <w:rsid w:val="00623795"/>
    <w:rsid w:val="00623874"/>
    <w:rsid w:val="006244CC"/>
    <w:rsid w:val="00624B64"/>
    <w:rsid w:val="00624C96"/>
    <w:rsid w:val="00624FA0"/>
    <w:rsid w:val="00625330"/>
    <w:rsid w:val="00625BE1"/>
    <w:rsid w:val="0062631B"/>
    <w:rsid w:val="0062634E"/>
    <w:rsid w:val="006264F8"/>
    <w:rsid w:val="00626844"/>
    <w:rsid w:val="00626EA6"/>
    <w:rsid w:val="00626EF1"/>
    <w:rsid w:val="00627A3A"/>
    <w:rsid w:val="00627C61"/>
    <w:rsid w:val="00627FF7"/>
    <w:rsid w:val="0063052E"/>
    <w:rsid w:val="0063085E"/>
    <w:rsid w:val="006309C4"/>
    <w:rsid w:val="00630DE9"/>
    <w:rsid w:val="006310F0"/>
    <w:rsid w:val="00631A51"/>
    <w:rsid w:val="00632145"/>
    <w:rsid w:val="0063259E"/>
    <w:rsid w:val="00632CDB"/>
    <w:rsid w:val="00632D19"/>
    <w:rsid w:val="006332D9"/>
    <w:rsid w:val="0063343F"/>
    <w:rsid w:val="006335D5"/>
    <w:rsid w:val="0063434C"/>
    <w:rsid w:val="00634698"/>
    <w:rsid w:val="00634FC9"/>
    <w:rsid w:val="00635212"/>
    <w:rsid w:val="00635957"/>
    <w:rsid w:val="006360BD"/>
    <w:rsid w:val="00636366"/>
    <w:rsid w:val="006368D6"/>
    <w:rsid w:val="00636E90"/>
    <w:rsid w:val="00636ED5"/>
    <w:rsid w:val="00637494"/>
    <w:rsid w:val="00637FFA"/>
    <w:rsid w:val="006402B2"/>
    <w:rsid w:val="006407F4"/>
    <w:rsid w:val="00640CCA"/>
    <w:rsid w:val="00640EF3"/>
    <w:rsid w:val="00640FF7"/>
    <w:rsid w:val="00641469"/>
    <w:rsid w:val="006416F0"/>
    <w:rsid w:val="006418B9"/>
    <w:rsid w:val="006419A1"/>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A56"/>
    <w:rsid w:val="00646B51"/>
    <w:rsid w:val="00646D2C"/>
    <w:rsid w:val="00646E5B"/>
    <w:rsid w:val="006471A3"/>
    <w:rsid w:val="0064753E"/>
    <w:rsid w:val="00647960"/>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1B3F"/>
    <w:rsid w:val="00662535"/>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96F"/>
    <w:rsid w:val="00673A8F"/>
    <w:rsid w:val="00673DF6"/>
    <w:rsid w:val="00673E4A"/>
    <w:rsid w:val="00674747"/>
    <w:rsid w:val="00674798"/>
    <w:rsid w:val="00674DD0"/>
    <w:rsid w:val="00674F1A"/>
    <w:rsid w:val="006751C8"/>
    <w:rsid w:val="006757A6"/>
    <w:rsid w:val="00675996"/>
    <w:rsid w:val="00675A34"/>
    <w:rsid w:val="00675F09"/>
    <w:rsid w:val="00676717"/>
    <w:rsid w:val="00676AAB"/>
    <w:rsid w:val="00676BAF"/>
    <w:rsid w:val="00677135"/>
    <w:rsid w:val="006771F3"/>
    <w:rsid w:val="006772F4"/>
    <w:rsid w:val="00677BD9"/>
    <w:rsid w:val="0068044E"/>
    <w:rsid w:val="00680478"/>
    <w:rsid w:val="00680DD8"/>
    <w:rsid w:val="00680EAC"/>
    <w:rsid w:val="0068127F"/>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2B55"/>
    <w:rsid w:val="0069438A"/>
    <w:rsid w:val="006945F4"/>
    <w:rsid w:val="00694739"/>
    <w:rsid w:val="00694FCC"/>
    <w:rsid w:val="00695310"/>
    <w:rsid w:val="0069594C"/>
    <w:rsid w:val="00695AD2"/>
    <w:rsid w:val="00696474"/>
    <w:rsid w:val="00696C92"/>
    <w:rsid w:val="00697154"/>
    <w:rsid w:val="00697DE9"/>
    <w:rsid w:val="006A0089"/>
    <w:rsid w:val="006A07DD"/>
    <w:rsid w:val="006A0B64"/>
    <w:rsid w:val="006A0CD1"/>
    <w:rsid w:val="006A13F3"/>
    <w:rsid w:val="006A193D"/>
    <w:rsid w:val="006A29F4"/>
    <w:rsid w:val="006A3110"/>
    <w:rsid w:val="006A35FE"/>
    <w:rsid w:val="006A3C79"/>
    <w:rsid w:val="006A3F02"/>
    <w:rsid w:val="006A454B"/>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ABB"/>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4D34"/>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611"/>
    <w:rsid w:val="006D5BD7"/>
    <w:rsid w:val="006D5FDD"/>
    <w:rsid w:val="006D6BAF"/>
    <w:rsid w:val="006D6FB2"/>
    <w:rsid w:val="006D71F2"/>
    <w:rsid w:val="006D736A"/>
    <w:rsid w:val="006D7709"/>
    <w:rsid w:val="006D77B2"/>
    <w:rsid w:val="006D7855"/>
    <w:rsid w:val="006E0365"/>
    <w:rsid w:val="006E1776"/>
    <w:rsid w:val="006E2797"/>
    <w:rsid w:val="006E2AA1"/>
    <w:rsid w:val="006E3276"/>
    <w:rsid w:val="006E3297"/>
    <w:rsid w:val="006E3A9F"/>
    <w:rsid w:val="006E3B9E"/>
    <w:rsid w:val="006E443A"/>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D73"/>
    <w:rsid w:val="006F7545"/>
    <w:rsid w:val="006F757C"/>
    <w:rsid w:val="006F7F81"/>
    <w:rsid w:val="00700900"/>
    <w:rsid w:val="00700992"/>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7BA"/>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0F90"/>
    <w:rsid w:val="0073187E"/>
    <w:rsid w:val="007327F7"/>
    <w:rsid w:val="00732C59"/>
    <w:rsid w:val="0073389F"/>
    <w:rsid w:val="00733D6D"/>
    <w:rsid w:val="00733F26"/>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D06"/>
    <w:rsid w:val="007432AA"/>
    <w:rsid w:val="0074375A"/>
    <w:rsid w:val="00744714"/>
    <w:rsid w:val="007447F8"/>
    <w:rsid w:val="00744984"/>
    <w:rsid w:val="00744CFD"/>
    <w:rsid w:val="00745078"/>
    <w:rsid w:val="00745871"/>
    <w:rsid w:val="00746133"/>
    <w:rsid w:val="00746F90"/>
    <w:rsid w:val="0074723F"/>
    <w:rsid w:val="00747889"/>
    <w:rsid w:val="00750C62"/>
    <w:rsid w:val="00750EF5"/>
    <w:rsid w:val="007510E3"/>
    <w:rsid w:val="00751140"/>
    <w:rsid w:val="00751BCD"/>
    <w:rsid w:val="0075204C"/>
    <w:rsid w:val="00752330"/>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1D5"/>
    <w:rsid w:val="00761311"/>
    <w:rsid w:val="007613B4"/>
    <w:rsid w:val="00761654"/>
    <w:rsid w:val="00761C93"/>
    <w:rsid w:val="00761FA3"/>
    <w:rsid w:val="00762E19"/>
    <w:rsid w:val="00762F06"/>
    <w:rsid w:val="00762FD4"/>
    <w:rsid w:val="00763841"/>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BA6"/>
    <w:rsid w:val="00775D71"/>
    <w:rsid w:val="00775EC6"/>
    <w:rsid w:val="0077730A"/>
    <w:rsid w:val="007774AA"/>
    <w:rsid w:val="00777D1F"/>
    <w:rsid w:val="007806B5"/>
    <w:rsid w:val="007806CF"/>
    <w:rsid w:val="00781FDE"/>
    <w:rsid w:val="0078216F"/>
    <w:rsid w:val="00782194"/>
    <w:rsid w:val="00782477"/>
    <w:rsid w:val="007827FE"/>
    <w:rsid w:val="0078359B"/>
    <w:rsid w:val="00783B30"/>
    <w:rsid w:val="00783B92"/>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7B5"/>
    <w:rsid w:val="00791872"/>
    <w:rsid w:val="00793875"/>
    <w:rsid w:val="00793C5A"/>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3B8D"/>
    <w:rsid w:val="007A4082"/>
    <w:rsid w:val="007A421D"/>
    <w:rsid w:val="007A436F"/>
    <w:rsid w:val="007A47E0"/>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323"/>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B84"/>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EF0"/>
    <w:rsid w:val="00823F06"/>
    <w:rsid w:val="008240BC"/>
    <w:rsid w:val="00824BC5"/>
    <w:rsid w:val="008251FA"/>
    <w:rsid w:val="00825626"/>
    <w:rsid w:val="00825BE8"/>
    <w:rsid w:val="00825E95"/>
    <w:rsid w:val="00825EE3"/>
    <w:rsid w:val="008262E0"/>
    <w:rsid w:val="00826B45"/>
    <w:rsid w:val="0082797E"/>
    <w:rsid w:val="008300AB"/>
    <w:rsid w:val="0083072A"/>
    <w:rsid w:val="00830ACA"/>
    <w:rsid w:val="00830AFE"/>
    <w:rsid w:val="00830CF6"/>
    <w:rsid w:val="008318D2"/>
    <w:rsid w:val="008320CA"/>
    <w:rsid w:val="00832458"/>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7D6"/>
    <w:rsid w:val="0084191C"/>
    <w:rsid w:val="00841A26"/>
    <w:rsid w:val="00841A67"/>
    <w:rsid w:val="00841BD0"/>
    <w:rsid w:val="00841E5F"/>
    <w:rsid w:val="00842274"/>
    <w:rsid w:val="00842374"/>
    <w:rsid w:val="008429D0"/>
    <w:rsid w:val="0084331A"/>
    <w:rsid w:val="008436E9"/>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1FEE"/>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B5B"/>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3B7"/>
    <w:rsid w:val="0087551E"/>
    <w:rsid w:val="0087568E"/>
    <w:rsid w:val="00875BA2"/>
    <w:rsid w:val="0087638F"/>
    <w:rsid w:val="008763EB"/>
    <w:rsid w:val="00877504"/>
    <w:rsid w:val="00877750"/>
    <w:rsid w:val="008778F6"/>
    <w:rsid w:val="00877A1E"/>
    <w:rsid w:val="00877B49"/>
    <w:rsid w:val="0088023D"/>
    <w:rsid w:val="0088026E"/>
    <w:rsid w:val="0088083B"/>
    <w:rsid w:val="00880B8B"/>
    <w:rsid w:val="00880BAE"/>
    <w:rsid w:val="00880CF1"/>
    <w:rsid w:val="00880D13"/>
    <w:rsid w:val="0088158E"/>
    <w:rsid w:val="00881992"/>
    <w:rsid w:val="00881A1D"/>
    <w:rsid w:val="00881BDF"/>
    <w:rsid w:val="0088201F"/>
    <w:rsid w:val="008820E5"/>
    <w:rsid w:val="00882214"/>
    <w:rsid w:val="00882693"/>
    <w:rsid w:val="00882C3F"/>
    <w:rsid w:val="008831A4"/>
    <w:rsid w:val="008837F0"/>
    <w:rsid w:val="00883C5B"/>
    <w:rsid w:val="0088561A"/>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2FF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784"/>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142"/>
    <w:rsid w:val="008E0856"/>
    <w:rsid w:val="008E0866"/>
    <w:rsid w:val="008E1A72"/>
    <w:rsid w:val="008E1A91"/>
    <w:rsid w:val="008E3097"/>
    <w:rsid w:val="008E375A"/>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21B"/>
    <w:rsid w:val="0090068D"/>
    <w:rsid w:val="0090083C"/>
    <w:rsid w:val="00901360"/>
    <w:rsid w:val="00901616"/>
    <w:rsid w:val="00901CC9"/>
    <w:rsid w:val="00901DAF"/>
    <w:rsid w:val="00901FB8"/>
    <w:rsid w:val="009022AF"/>
    <w:rsid w:val="00902F13"/>
    <w:rsid w:val="00902FB3"/>
    <w:rsid w:val="0090321E"/>
    <w:rsid w:val="009032E8"/>
    <w:rsid w:val="0090341D"/>
    <w:rsid w:val="00903506"/>
    <w:rsid w:val="0090445D"/>
    <w:rsid w:val="0090465B"/>
    <w:rsid w:val="009051DD"/>
    <w:rsid w:val="00906BC4"/>
    <w:rsid w:val="00906CAE"/>
    <w:rsid w:val="00906F5C"/>
    <w:rsid w:val="0090722C"/>
    <w:rsid w:val="009074CC"/>
    <w:rsid w:val="009076A2"/>
    <w:rsid w:val="0090774A"/>
    <w:rsid w:val="00907CC4"/>
    <w:rsid w:val="00910463"/>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752"/>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5EBC"/>
    <w:rsid w:val="0093613C"/>
    <w:rsid w:val="009365EB"/>
    <w:rsid w:val="0093753C"/>
    <w:rsid w:val="00937808"/>
    <w:rsid w:val="00940320"/>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83E"/>
    <w:rsid w:val="00957BA3"/>
    <w:rsid w:val="00957D1F"/>
    <w:rsid w:val="00960064"/>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67C33"/>
    <w:rsid w:val="0097023C"/>
    <w:rsid w:val="00970C1E"/>
    <w:rsid w:val="00970FE3"/>
    <w:rsid w:val="00971AFA"/>
    <w:rsid w:val="00971B44"/>
    <w:rsid w:val="00971FDC"/>
    <w:rsid w:val="00971FFC"/>
    <w:rsid w:val="00972053"/>
    <w:rsid w:val="00972273"/>
    <w:rsid w:val="0097254A"/>
    <w:rsid w:val="009728E5"/>
    <w:rsid w:val="00972E1E"/>
    <w:rsid w:val="009730AF"/>
    <w:rsid w:val="0097390C"/>
    <w:rsid w:val="00973A39"/>
    <w:rsid w:val="00973DA9"/>
    <w:rsid w:val="00973F0A"/>
    <w:rsid w:val="00974042"/>
    <w:rsid w:val="00974C66"/>
    <w:rsid w:val="00975112"/>
    <w:rsid w:val="009751C7"/>
    <w:rsid w:val="00975244"/>
    <w:rsid w:val="009753FF"/>
    <w:rsid w:val="00975440"/>
    <w:rsid w:val="00975557"/>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5A30"/>
    <w:rsid w:val="009960BE"/>
    <w:rsid w:val="009961AD"/>
    <w:rsid w:val="00996A1B"/>
    <w:rsid w:val="0099780E"/>
    <w:rsid w:val="009978A5"/>
    <w:rsid w:val="0099794D"/>
    <w:rsid w:val="00997B8D"/>
    <w:rsid w:val="009A05A5"/>
    <w:rsid w:val="009A0788"/>
    <w:rsid w:val="009A0A98"/>
    <w:rsid w:val="009A11C7"/>
    <w:rsid w:val="009A1B42"/>
    <w:rsid w:val="009A1F74"/>
    <w:rsid w:val="009A21B6"/>
    <w:rsid w:val="009A22AE"/>
    <w:rsid w:val="009A2576"/>
    <w:rsid w:val="009A2882"/>
    <w:rsid w:val="009A2D61"/>
    <w:rsid w:val="009A36CD"/>
    <w:rsid w:val="009A394B"/>
    <w:rsid w:val="009A3E0B"/>
    <w:rsid w:val="009A4078"/>
    <w:rsid w:val="009A4080"/>
    <w:rsid w:val="009A491E"/>
    <w:rsid w:val="009A4E4E"/>
    <w:rsid w:val="009A511E"/>
    <w:rsid w:val="009A51F1"/>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E84"/>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3A3E"/>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1E3"/>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86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B62"/>
    <w:rsid w:val="00A356B6"/>
    <w:rsid w:val="00A356FA"/>
    <w:rsid w:val="00A35B86"/>
    <w:rsid w:val="00A36004"/>
    <w:rsid w:val="00A37084"/>
    <w:rsid w:val="00A37392"/>
    <w:rsid w:val="00A4090A"/>
    <w:rsid w:val="00A409D1"/>
    <w:rsid w:val="00A40CA8"/>
    <w:rsid w:val="00A40F4D"/>
    <w:rsid w:val="00A4185C"/>
    <w:rsid w:val="00A425D5"/>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3C4"/>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65E"/>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84A"/>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80E"/>
    <w:rsid w:val="00A93AE5"/>
    <w:rsid w:val="00A93C60"/>
    <w:rsid w:val="00A9402E"/>
    <w:rsid w:val="00A94405"/>
    <w:rsid w:val="00A944DF"/>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209"/>
    <w:rsid w:val="00AA64DD"/>
    <w:rsid w:val="00AA6925"/>
    <w:rsid w:val="00AA6A5A"/>
    <w:rsid w:val="00AA6C91"/>
    <w:rsid w:val="00AA6FC8"/>
    <w:rsid w:val="00AA6FE8"/>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2BF"/>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2AC2"/>
    <w:rsid w:val="00AD31EB"/>
    <w:rsid w:val="00AD33EA"/>
    <w:rsid w:val="00AD3B56"/>
    <w:rsid w:val="00AD3CB5"/>
    <w:rsid w:val="00AD41DD"/>
    <w:rsid w:val="00AD4CD3"/>
    <w:rsid w:val="00AD4D05"/>
    <w:rsid w:val="00AD539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C94"/>
    <w:rsid w:val="00B06CC3"/>
    <w:rsid w:val="00B06DBA"/>
    <w:rsid w:val="00B0712F"/>
    <w:rsid w:val="00B071A1"/>
    <w:rsid w:val="00B0754E"/>
    <w:rsid w:val="00B1086E"/>
    <w:rsid w:val="00B11427"/>
    <w:rsid w:val="00B11686"/>
    <w:rsid w:val="00B11948"/>
    <w:rsid w:val="00B119A4"/>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D27"/>
    <w:rsid w:val="00B208BA"/>
    <w:rsid w:val="00B211B4"/>
    <w:rsid w:val="00B21371"/>
    <w:rsid w:val="00B21615"/>
    <w:rsid w:val="00B21654"/>
    <w:rsid w:val="00B22223"/>
    <w:rsid w:val="00B22EC0"/>
    <w:rsid w:val="00B23352"/>
    <w:rsid w:val="00B23389"/>
    <w:rsid w:val="00B234C8"/>
    <w:rsid w:val="00B23523"/>
    <w:rsid w:val="00B23F3A"/>
    <w:rsid w:val="00B2464D"/>
    <w:rsid w:val="00B247D5"/>
    <w:rsid w:val="00B24D4C"/>
    <w:rsid w:val="00B24F5C"/>
    <w:rsid w:val="00B24FB2"/>
    <w:rsid w:val="00B2564C"/>
    <w:rsid w:val="00B258A1"/>
    <w:rsid w:val="00B259AD"/>
    <w:rsid w:val="00B25A67"/>
    <w:rsid w:val="00B25DD7"/>
    <w:rsid w:val="00B2624D"/>
    <w:rsid w:val="00B264AC"/>
    <w:rsid w:val="00B264BE"/>
    <w:rsid w:val="00B2684C"/>
    <w:rsid w:val="00B26A03"/>
    <w:rsid w:val="00B27272"/>
    <w:rsid w:val="00B27670"/>
    <w:rsid w:val="00B27678"/>
    <w:rsid w:val="00B278C9"/>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59A"/>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A2E"/>
    <w:rsid w:val="00B53DA1"/>
    <w:rsid w:val="00B53E12"/>
    <w:rsid w:val="00B54259"/>
    <w:rsid w:val="00B542C6"/>
    <w:rsid w:val="00B54354"/>
    <w:rsid w:val="00B54DC7"/>
    <w:rsid w:val="00B5554E"/>
    <w:rsid w:val="00B556DB"/>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77E83"/>
    <w:rsid w:val="00B8057D"/>
    <w:rsid w:val="00B80772"/>
    <w:rsid w:val="00B80A41"/>
    <w:rsid w:val="00B80AC9"/>
    <w:rsid w:val="00B80EB8"/>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00A"/>
    <w:rsid w:val="00B966C9"/>
    <w:rsid w:val="00B9697E"/>
    <w:rsid w:val="00B97478"/>
    <w:rsid w:val="00B97CCB"/>
    <w:rsid w:val="00BA00B1"/>
    <w:rsid w:val="00BA10B3"/>
    <w:rsid w:val="00BA15B6"/>
    <w:rsid w:val="00BA1DF3"/>
    <w:rsid w:val="00BA20D9"/>
    <w:rsid w:val="00BA2E1D"/>
    <w:rsid w:val="00BA3467"/>
    <w:rsid w:val="00BA3ED4"/>
    <w:rsid w:val="00BA453A"/>
    <w:rsid w:val="00BA45F4"/>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CA0"/>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470"/>
    <w:rsid w:val="00BC781C"/>
    <w:rsid w:val="00BC7D12"/>
    <w:rsid w:val="00BC7DB8"/>
    <w:rsid w:val="00BD0009"/>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67B"/>
    <w:rsid w:val="00BE287D"/>
    <w:rsid w:val="00BE2AFA"/>
    <w:rsid w:val="00BE2E81"/>
    <w:rsid w:val="00BE357F"/>
    <w:rsid w:val="00BE3B7E"/>
    <w:rsid w:val="00BE3D4F"/>
    <w:rsid w:val="00BE3F78"/>
    <w:rsid w:val="00BE445E"/>
    <w:rsid w:val="00BE44B2"/>
    <w:rsid w:val="00BE5FBE"/>
    <w:rsid w:val="00BE6F17"/>
    <w:rsid w:val="00BE75D3"/>
    <w:rsid w:val="00BE7ABA"/>
    <w:rsid w:val="00BE7AE5"/>
    <w:rsid w:val="00BF031D"/>
    <w:rsid w:val="00BF0F16"/>
    <w:rsid w:val="00BF2189"/>
    <w:rsid w:val="00BF22E1"/>
    <w:rsid w:val="00BF2BA6"/>
    <w:rsid w:val="00BF2C0A"/>
    <w:rsid w:val="00BF311A"/>
    <w:rsid w:val="00BF360E"/>
    <w:rsid w:val="00BF44E8"/>
    <w:rsid w:val="00BF564D"/>
    <w:rsid w:val="00BF5998"/>
    <w:rsid w:val="00BF59B1"/>
    <w:rsid w:val="00BF6372"/>
    <w:rsid w:val="00BF6C86"/>
    <w:rsid w:val="00BF6F6E"/>
    <w:rsid w:val="00BF7144"/>
    <w:rsid w:val="00C0076D"/>
    <w:rsid w:val="00C00E63"/>
    <w:rsid w:val="00C0133C"/>
    <w:rsid w:val="00C01FC2"/>
    <w:rsid w:val="00C025D5"/>
    <w:rsid w:val="00C025F5"/>
    <w:rsid w:val="00C033AF"/>
    <w:rsid w:val="00C039CF"/>
    <w:rsid w:val="00C03F00"/>
    <w:rsid w:val="00C04049"/>
    <w:rsid w:val="00C041DE"/>
    <w:rsid w:val="00C048BA"/>
    <w:rsid w:val="00C04A8D"/>
    <w:rsid w:val="00C052D9"/>
    <w:rsid w:val="00C055A2"/>
    <w:rsid w:val="00C05E8A"/>
    <w:rsid w:val="00C06A37"/>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3EEC"/>
    <w:rsid w:val="00C141E0"/>
    <w:rsid w:val="00C142A1"/>
    <w:rsid w:val="00C14308"/>
    <w:rsid w:val="00C14642"/>
    <w:rsid w:val="00C15342"/>
    <w:rsid w:val="00C15F08"/>
    <w:rsid w:val="00C171D7"/>
    <w:rsid w:val="00C203AA"/>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5CFA"/>
    <w:rsid w:val="00C26A33"/>
    <w:rsid w:val="00C26A9C"/>
    <w:rsid w:val="00C275BA"/>
    <w:rsid w:val="00C2786A"/>
    <w:rsid w:val="00C27C66"/>
    <w:rsid w:val="00C300A6"/>
    <w:rsid w:val="00C3071D"/>
    <w:rsid w:val="00C30ECD"/>
    <w:rsid w:val="00C30F7A"/>
    <w:rsid w:val="00C323A9"/>
    <w:rsid w:val="00C32D5B"/>
    <w:rsid w:val="00C335B8"/>
    <w:rsid w:val="00C33D35"/>
    <w:rsid w:val="00C34BAD"/>
    <w:rsid w:val="00C353B2"/>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1FAA"/>
    <w:rsid w:val="00C425EF"/>
    <w:rsid w:val="00C42E9C"/>
    <w:rsid w:val="00C4334F"/>
    <w:rsid w:val="00C433B3"/>
    <w:rsid w:val="00C44CD9"/>
    <w:rsid w:val="00C44DDF"/>
    <w:rsid w:val="00C456BD"/>
    <w:rsid w:val="00C45FE9"/>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0C0"/>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BC"/>
    <w:rsid w:val="00C772E4"/>
    <w:rsid w:val="00C77748"/>
    <w:rsid w:val="00C779EB"/>
    <w:rsid w:val="00C80A26"/>
    <w:rsid w:val="00C80FA4"/>
    <w:rsid w:val="00C817CA"/>
    <w:rsid w:val="00C81815"/>
    <w:rsid w:val="00C819F3"/>
    <w:rsid w:val="00C8206F"/>
    <w:rsid w:val="00C82501"/>
    <w:rsid w:val="00C82AF0"/>
    <w:rsid w:val="00C82E64"/>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3F8E"/>
    <w:rsid w:val="00C941A5"/>
    <w:rsid w:val="00C9454F"/>
    <w:rsid w:val="00C949EB"/>
    <w:rsid w:val="00C95381"/>
    <w:rsid w:val="00C96C7A"/>
    <w:rsid w:val="00C975E7"/>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737"/>
    <w:rsid w:val="00CA6A49"/>
    <w:rsid w:val="00CA713D"/>
    <w:rsid w:val="00CA7E5D"/>
    <w:rsid w:val="00CA7E97"/>
    <w:rsid w:val="00CB0435"/>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10F"/>
    <w:rsid w:val="00CB540D"/>
    <w:rsid w:val="00CB5593"/>
    <w:rsid w:val="00CB59FA"/>
    <w:rsid w:val="00CB5C7E"/>
    <w:rsid w:val="00CB65B0"/>
    <w:rsid w:val="00CB69D4"/>
    <w:rsid w:val="00CB6D5A"/>
    <w:rsid w:val="00CB7435"/>
    <w:rsid w:val="00CB7437"/>
    <w:rsid w:val="00CC07FF"/>
    <w:rsid w:val="00CC0E15"/>
    <w:rsid w:val="00CC1398"/>
    <w:rsid w:val="00CC1B44"/>
    <w:rsid w:val="00CC1FE2"/>
    <w:rsid w:val="00CC20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0A8E"/>
    <w:rsid w:val="00CD12C7"/>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18F2"/>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182"/>
    <w:rsid w:val="00CE777A"/>
    <w:rsid w:val="00CE7C9D"/>
    <w:rsid w:val="00CE7DB0"/>
    <w:rsid w:val="00CF085D"/>
    <w:rsid w:val="00CF0923"/>
    <w:rsid w:val="00CF0DC7"/>
    <w:rsid w:val="00CF0E04"/>
    <w:rsid w:val="00CF132B"/>
    <w:rsid w:val="00CF159E"/>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34F"/>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A07"/>
    <w:rsid w:val="00D26180"/>
    <w:rsid w:val="00D265C9"/>
    <w:rsid w:val="00D26EFC"/>
    <w:rsid w:val="00D2792F"/>
    <w:rsid w:val="00D3084A"/>
    <w:rsid w:val="00D308A3"/>
    <w:rsid w:val="00D30F6B"/>
    <w:rsid w:val="00D312B0"/>
    <w:rsid w:val="00D312DB"/>
    <w:rsid w:val="00D31730"/>
    <w:rsid w:val="00D32F17"/>
    <w:rsid w:val="00D33094"/>
    <w:rsid w:val="00D33184"/>
    <w:rsid w:val="00D3328F"/>
    <w:rsid w:val="00D337C9"/>
    <w:rsid w:val="00D33AC2"/>
    <w:rsid w:val="00D3427E"/>
    <w:rsid w:val="00D347C3"/>
    <w:rsid w:val="00D351D2"/>
    <w:rsid w:val="00D35515"/>
    <w:rsid w:val="00D35617"/>
    <w:rsid w:val="00D35AF8"/>
    <w:rsid w:val="00D35B35"/>
    <w:rsid w:val="00D36943"/>
    <w:rsid w:val="00D36B0F"/>
    <w:rsid w:val="00D36B50"/>
    <w:rsid w:val="00D3711D"/>
    <w:rsid w:val="00D37279"/>
    <w:rsid w:val="00D37550"/>
    <w:rsid w:val="00D37CAD"/>
    <w:rsid w:val="00D37EF7"/>
    <w:rsid w:val="00D4005E"/>
    <w:rsid w:val="00D40114"/>
    <w:rsid w:val="00D40AD3"/>
    <w:rsid w:val="00D40DE9"/>
    <w:rsid w:val="00D40F95"/>
    <w:rsid w:val="00D4150E"/>
    <w:rsid w:val="00D42589"/>
    <w:rsid w:val="00D4316D"/>
    <w:rsid w:val="00D4375C"/>
    <w:rsid w:val="00D44196"/>
    <w:rsid w:val="00D44384"/>
    <w:rsid w:val="00D44923"/>
    <w:rsid w:val="00D44E12"/>
    <w:rsid w:val="00D451E0"/>
    <w:rsid w:val="00D45542"/>
    <w:rsid w:val="00D456E7"/>
    <w:rsid w:val="00D4595D"/>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5CD"/>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705"/>
    <w:rsid w:val="00D63DD6"/>
    <w:rsid w:val="00D64233"/>
    <w:rsid w:val="00D644A0"/>
    <w:rsid w:val="00D6500E"/>
    <w:rsid w:val="00D65331"/>
    <w:rsid w:val="00D65344"/>
    <w:rsid w:val="00D656C3"/>
    <w:rsid w:val="00D65914"/>
    <w:rsid w:val="00D66077"/>
    <w:rsid w:val="00D6627C"/>
    <w:rsid w:val="00D6675D"/>
    <w:rsid w:val="00D6739E"/>
    <w:rsid w:val="00D679A6"/>
    <w:rsid w:val="00D67B9F"/>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7A"/>
    <w:rsid w:val="00D758CB"/>
    <w:rsid w:val="00D75A72"/>
    <w:rsid w:val="00D75ADB"/>
    <w:rsid w:val="00D7633C"/>
    <w:rsid w:val="00D76BA0"/>
    <w:rsid w:val="00D774E1"/>
    <w:rsid w:val="00D80D93"/>
    <w:rsid w:val="00D80E1F"/>
    <w:rsid w:val="00D81343"/>
    <w:rsid w:val="00D8247D"/>
    <w:rsid w:val="00D825A8"/>
    <w:rsid w:val="00D82793"/>
    <w:rsid w:val="00D830A8"/>
    <w:rsid w:val="00D832CF"/>
    <w:rsid w:val="00D83858"/>
    <w:rsid w:val="00D83964"/>
    <w:rsid w:val="00D83E08"/>
    <w:rsid w:val="00D83E36"/>
    <w:rsid w:val="00D84365"/>
    <w:rsid w:val="00D84595"/>
    <w:rsid w:val="00D84971"/>
    <w:rsid w:val="00D8587C"/>
    <w:rsid w:val="00D85A43"/>
    <w:rsid w:val="00D85C61"/>
    <w:rsid w:val="00D85ECA"/>
    <w:rsid w:val="00D86315"/>
    <w:rsid w:val="00D863B5"/>
    <w:rsid w:val="00D86953"/>
    <w:rsid w:val="00D869F2"/>
    <w:rsid w:val="00D86D16"/>
    <w:rsid w:val="00D875E2"/>
    <w:rsid w:val="00D87A39"/>
    <w:rsid w:val="00D87DEE"/>
    <w:rsid w:val="00D904BC"/>
    <w:rsid w:val="00D90668"/>
    <w:rsid w:val="00D906D5"/>
    <w:rsid w:val="00D90777"/>
    <w:rsid w:val="00D907C5"/>
    <w:rsid w:val="00D908F2"/>
    <w:rsid w:val="00D90CE6"/>
    <w:rsid w:val="00D90D6C"/>
    <w:rsid w:val="00D9104C"/>
    <w:rsid w:val="00D91FC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A033D"/>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3FE9"/>
    <w:rsid w:val="00DA43CD"/>
    <w:rsid w:val="00DA4974"/>
    <w:rsid w:val="00DA5F29"/>
    <w:rsid w:val="00DA619A"/>
    <w:rsid w:val="00DA61B5"/>
    <w:rsid w:val="00DA6222"/>
    <w:rsid w:val="00DA6AC2"/>
    <w:rsid w:val="00DA6D3E"/>
    <w:rsid w:val="00DA6E6B"/>
    <w:rsid w:val="00DA6FD3"/>
    <w:rsid w:val="00DA7441"/>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6F0"/>
    <w:rsid w:val="00DC5F5F"/>
    <w:rsid w:val="00DC66A9"/>
    <w:rsid w:val="00DC67D3"/>
    <w:rsid w:val="00DC69AE"/>
    <w:rsid w:val="00DC6D77"/>
    <w:rsid w:val="00DC70FB"/>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5FFA"/>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784"/>
    <w:rsid w:val="00DE5E80"/>
    <w:rsid w:val="00DE7275"/>
    <w:rsid w:val="00DE7D48"/>
    <w:rsid w:val="00DF0680"/>
    <w:rsid w:val="00DF1561"/>
    <w:rsid w:val="00DF1F5A"/>
    <w:rsid w:val="00DF257F"/>
    <w:rsid w:val="00DF39D2"/>
    <w:rsid w:val="00DF3C21"/>
    <w:rsid w:val="00DF427E"/>
    <w:rsid w:val="00DF44BA"/>
    <w:rsid w:val="00DF4E77"/>
    <w:rsid w:val="00DF4F72"/>
    <w:rsid w:val="00DF5741"/>
    <w:rsid w:val="00DF6A61"/>
    <w:rsid w:val="00DF7155"/>
    <w:rsid w:val="00DF7724"/>
    <w:rsid w:val="00E00156"/>
    <w:rsid w:val="00E00CEF"/>
    <w:rsid w:val="00E010E3"/>
    <w:rsid w:val="00E01D11"/>
    <w:rsid w:val="00E024A3"/>
    <w:rsid w:val="00E02928"/>
    <w:rsid w:val="00E02B40"/>
    <w:rsid w:val="00E02B4B"/>
    <w:rsid w:val="00E0329A"/>
    <w:rsid w:val="00E0346E"/>
    <w:rsid w:val="00E039AF"/>
    <w:rsid w:val="00E03C9B"/>
    <w:rsid w:val="00E04263"/>
    <w:rsid w:val="00E042F2"/>
    <w:rsid w:val="00E04EBD"/>
    <w:rsid w:val="00E05671"/>
    <w:rsid w:val="00E05F91"/>
    <w:rsid w:val="00E0686A"/>
    <w:rsid w:val="00E06E42"/>
    <w:rsid w:val="00E06E91"/>
    <w:rsid w:val="00E0744E"/>
    <w:rsid w:val="00E07B0C"/>
    <w:rsid w:val="00E07B19"/>
    <w:rsid w:val="00E07BFC"/>
    <w:rsid w:val="00E10C41"/>
    <w:rsid w:val="00E1106F"/>
    <w:rsid w:val="00E120AC"/>
    <w:rsid w:val="00E12A32"/>
    <w:rsid w:val="00E12B67"/>
    <w:rsid w:val="00E12FB8"/>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86"/>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9D"/>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D2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A06"/>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66"/>
    <w:rsid w:val="00E7219B"/>
    <w:rsid w:val="00E7232A"/>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97B"/>
    <w:rsid w:val="00E803C9"/>
    <w:rsid w:val="00E807D3"/>
    <w:rsid w:val="00E80E55"/>
    <w:rsid w:val="00E81CD8"/>
    <w:rsid w:val="00E82001"/>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44F"/>
    <w:rsid w:val="00E95869"/>
    <w:rsid w:val="00E95DC3"/>
    <w:rsid w:val="00E95EA9"/>
    <w:rsid w:val="00E96661"/>
    <w:rsid w:val="00E9689E"/>
    <w:rsid w:val="00E96F69"/>
    <w:rsid w:val="00E9706B"/>
    <w:rsid w:val="00E9735F"/>
    <w:rsid w:val="00E9781A"/>
    <w:rsid w:val="00E97D6D"/>
    <w:rsid w:val="00EA0654"/>
    <w:rsid w:val="00EA0BF7"/>
    <w:rsid w:val="00EA103F"/>
    <w:rsid w:val="00EA1E67"/>
    <w:rsid w:val="00EA2E65"/>
    <w:rsid w:val="00EA35A2"/>
    <w:rsid w:val="00EA3D42"/>
    <w:rsid w:val="00EA41C8"/>
    <w:rsid w:val="00EA471A"/>
    <w:rsid w:val="00EA4819"/>
    <w:rsid w:val="00EA4A87"/>
    <w:rsid w:val="00EA516C"/>
    <w:rsid w:val="00EA5B11"/>
    <w:rsid w:val="00EA5F27"/>
    <w:rsid w:val="00EA615D"/>
    <w:rsid w:val="00EA6568"/>
    <w:rsid w:val="00EA6DC4"/>
    <w:rsid w:val="00EA7189"/>
    <w:rsid w:val="00EA75CB"/>
    <w:rsid w:val="00EB0A02"/>
    <w:rsid w:val="00EB214D"/>
    <w:rsid w:val="00EB234F"/>
    <w:rsid w:val="00EB2854"/>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B7052"/>
    <w:rsid w:val="00EC00B1"/>
    <w:rsid w:val="00EC0639"/>
    <w:rsid w:val="00EC1F07"/>
    <w:rsid w:val="00EC25C4"/>
    <w:rsid w:val="00EC25C5"/>
    <w:rsid w:val="00EC2E02"/>
    <w:rsid w:val="00EC2E90"/>
    <w:rsid w:val="00EC34EF"/>
    <w:rsid w:val="00EC383F"/>
    <w:rsid w:val="00EC418D"/>
    <w:rsid w:val="00EC43D1"/>
    <w:rsid w:val="00EC4DEC"/>
    <w:rsid w:val="00EC4F32"/>
    <w:rsid w:val="00EC5184"/>
    <w:rsid w:val="00EC6291"/>
    <w:rsid w:val="00EC649D"/>
    <w:rsid w:val="00EC64EC"/>
    <w:rsid w:val="00EC66E0"/>
    <w:rsid w:val="00EC692A"/>
    <w:rsid w:val="00EC702A"/>
    <w:rsid w:val="00EC71A6"/>
    <w:rsid w:val="00EC7815"/>
    <w:rsid w:val="00ED08EA"/>
    <w:rsid w:val="00ED0927"/>
    <w:rsid w:val="00ED0A00"/>
    <w:rsid w:val="00ED0C26"/>
    <w:rsid w:val="00ED0E87"/>
    <w:rsid w:val="00ED21E2"/>
    <w:rsid w:val="00ED3242"/>
    <w:rsid w:val="00ED34E7"/>
    <w:rsid w:val="00ED355F"/>
    <w:rsid w:val="00ED3979"/>
    <w:rsid w:val="00ED3ECF"/>
    <w:rsid w:val="00ED4275"/>
    <w:rsid w:val="00ED43A3"/>
    <w:rsid w:val="00ED49FB"/>
    <w:rsid w:val="00ED4BBA"/>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7B3"/>
    <w:rsid w:val="00EE5848"/>
    <w:rsid w:val="00EE5A12"/>
    <w:rsid w:val="00EE5ADE"/>
    <w:rsid w:val="00EE5F92"/>
    <w:rsid w:val="00EE63B2"/>
    <w:rsid w:val="00EE69C6"/>
    <w:rsid w:val="00EE6C0B"/>
    <w:rsid w:val="00EE79BC"/>
    <w:rsid w:val="00EE7C1D"/>
    <w:rsid w:val="00EF00C5"/>
    <w:rsid w:val="00EF0636"/>
    <w:rsid w:val="00EF14C9"/>
    <w:rsid w:val="00EF15B0"/>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45E8"/>
    <w:rsid w:val="00F1589B"/>
    <w:rsid w:val="00F15CBD"/>
    <w:rsid w:val="00F15DD7"/>
    <w:rsid w:val="00F161A0"/>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913"/>
    <w:rsid w:val="00F21D91"/>
    <w:rsid w:val="00F2264C"/>
    <w:rsid w:val="00F22A6F"/>
    <w:rsid w:val="00F22E47"/>
    <w:rsid w:val="00F23041"/>
    <w:rsid w:val="00F23197"/>
    <w:rsid w:val="00F2354B"/>
    <w:rsid w:val="00F235C5"/>
    <w:rsid w:val="00F247BA"/>
    <w:rsid w:val="00F249F4"/>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2FED"/>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37EAB"/>
    <w:rsid w:val="00F40581"/>
    <w:rsid w:val="00F408AB"/>
    <w:rsid w:val="00F40A44"/>
    <w:rsid w:val="00F40C02"/>
    <w:rsid w:val="00F40CDF"/>
    <w:rsid w:val="00F41B9A"/>
    <w:rsid w:val="00F41D63"/>
    <w:rsid w:val="00F4226E"/>
    <w:rsid w:val="00F42361"/>
    <w:rsid w:val="00F424B5"/>
    <w:rsid w:val="00F42AC3"/>
    <w:rsid w:val="00F42B60"/>
    <w:rsid w:val="00F43385"/>
    <w:rsid w:val="00F43829"/>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81B"/>
    <w:rsid w:val="00F62919"/>
    <w:rsid w:val="00F62DDE"/>
    <w:rsid w:val="00F630A7"/>
    <w:rsid w:val="00F63175"/>
    <w:rsid w:val="00F6322C"/>
    <w:rsid w:val="00F64487"/>
    <w:rsid w:val="00F644C7"/>
    <w:rsid w:val="00F64F30"/>
    <w:rsid w:val="00F653B0"/>
    <w:rsid w:val="00F65AB1"/>
    <w:rsid w:val="00F65B93"/>
    <w:rsid w:val="00F65D1E"/>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29BC"/>
    <w:rsid w:val="00FA332E"/>
    <w:rsid w:val="00FA41ED"/>
    <w:rsid w:val="00FA45C1"/>
    <w:rsid w:val="00FA48D3"/>
    <w:rsid w:val="00FA4D20"/>
    <w:rsid w:val="00FA55F6"/>
    <w:rsid w:val="00FA5B9C"/>
    <w:rsid w:val="00FA5F4F"/>
    <w:rsid w:val="00FA60A3"/>
    <w:rsid w:val="00FA63CF"/>
    <w:rsid w:val="00FA695C"/>
    <w:rsid w:val="00FA69A6"/>
    <w:rsid w:val="00FA6A91"/>
    <w:rsid w:val="00FA75B6"/>
    <w:rsid w:val="00FA78FD"/>
    <w:rsid w:val="00FB0A99"/>
    <w:rsid w:val="00FB0F17"/>
    <w:rsid w:val="00FB1057"/>
    <w:rsid w:val="00FB15C2"/>
    <w:rsid w:val="00FB19AB"/>
    <w:rsid w:val="00FB1BEB"/>
    <w:rsid w:val="00FB2080"/>
    <w:rsid w:val="00FB24D1"/>
    <w:rsid w:val="00FB2F71"/>
    <w:rsid w:val="00FB2FFC"/>
    <w:rsid w:val="00FB351A"/>
    <w:rsid w:val="00FB35CB"/>
    <w:rsid w:val="00FB363A"/>
    <w:rsid w:val="00FB3B0F"/>
    <w:rsid w:val="00FB4107"/>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1BF"/>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77E"/>
    <w:rsid w:val="00FD5FBE"/>
    <w:rsid w:val="00FD6135"/>
    <w:rsid w:val="00FD672C"/>
    <w:rsid w:val="00FD6A30"/>
    <w:rsid w:val="00FD6C06"/>
    <w:rsid w:val="00FD707A"/>
    <w:rsid w:val="00FD716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B5C"/>
    <w:rsid w:val="00FE4C3A"/>
    <w:rsid w:val="00FE4DD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uiPriority w:val="99"/>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table" w:customStyle="1" w:styleId="Tablaconcuadrcula2">
    <w:name w:val="Tabla con cuadrícula2"/>
    <w:basedOn w:val="Tablanormal"/>
    <w:next w:val="Tablaconcuadrcula"/>
    <w:uiPriority w:val="39"/>
    <w:locked/>
    <w:rsid w:val="00BE3D4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E66FC"/>
  </w:style>
  <w:style w:type="table" w:customStyle="1" w:styleId="Tablaconcuadrcula1">
    <w:name w:val="Tabla con cuadrícula1"/>
    <w:basedOn w:val="Tablanormal"/>
    <w:next w:val="Tablaconcuadrcula"/>
    <w:uiPriority w:val="39"/>
    <w:rsid w:val="000E6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next w:val="Sinespaciado"/>
    <w:uiPriority w:val="1"/>
    <w:qFormat/>
    <w:rsid w:val="000E66FC"/>
    <w:rPr>
      <w:rFonts w:ascii="Calibri" w:eastAsia="Calibri" w:hAnsi="Calibri"/>
      <w:sz w:val="22"/>
      <w:szCs w:val="22"/>
      <w:lang w:eastAsia="en-US"/>
    </w:rPr>
  </w:style>
  <w:style w:type="table" w:customStyle="1" w:styleId="TableGridPHPDOCX">
    <w:name w:val="Table Grid PHPDOCX"/>
    <w:uiPriority w:val="59"/>
    <w:rsid w:val="000E66FC"/>
    <w:rPr>
      <w:rFonts w:ascii="Arial Narrow" w:eastAsia="Arial Narrow" w:hAnsi="Arial Narrow"/>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E66FC"/>
    <w:pPr>
      <w:widowControl w:val="0"/>
      <w:autoSpaceDE w:val="0"/>
      <w:autoSpaceDN w:val="0"/>
      <w:spacing w:line="218" w:lineRule="exact"/>
      <w:ind w:left="416" w:hanging="351"/>
    </w:pPr>
    <w:rPr>
      <w:rFonts w:ascii="Arial" w:eastAsia="Arial" w:hAnsi="Arial" w:cs="Arial"/>
      <w:sz w:val="22"/>
      <w:szCs w:val="22"/>
      <w:lang w:val="es-ES" w:bidi="es-ES"/>
    </w:rPr>
  </w:style>
  <w:style w:type="character" w:styleId="Hipervnculovisitado">
    <w:name w:val="FollowedHyperlink"/>
    <w:basedOn w:val="Fuentedeprrafopredeter"/>
    <w:uiPriority w:val="99"/>
    <w:unhideWhenUsed/>
    <w:rsid w:val="00C03F00"/>
    <w:rPr>
      <w:color w:val="954F72"/>
      <w:u w:val="single"/>
    </w:rPr>
  </w:style>
  <w:style w:type="paragraph" w:customStyle="1" w:styleId="msonormal0">
    <w:name w:val="msonormal"/>
    <w:basedOn w:val="Normal"/>
    <w:rsid w:val="00C03F00"/>
    <w:pPr>
      <w:spacing w:before="100" w:beforeAutospacing="1" w:after="100" w:afterAutospacing="1"/>
    </w:pPr>
    <w:rPr>
      <w:lang w:eastAsia="es-MX"/>
    </w:rPr>
  </w:style>
  <w:style w:type="paragraph" w:customStyle="1" w:styleId="xl63">
    <w:name w:val="xl63"/>
    <w:basedOn w:val="Normal"/>
    <w:rsid w:val="00C03F00"/>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b/>
      <w:bCs/>
      <w:sz w:val="20"/>
      <w:szCs w:val="20"/>
      <w:lang w:eastAsia="es-MX"/>
    </w:rPr>
  </w:style>
  <w:style w:type="paragraph" w:customStyle="1" w:styleId="xl64">
    <w:name w:val="xl64"/>
    <w:basedOn w:val="Normal"/>
    <w:rsid w:val="00C03F00"/>
    <w:pPr>
      <w:pBdr>
        <w:left w:val="single" w:sz="4" w:space="0" w:color="auto"/>
        <w:bottom w:val="single" w:sz="4" w:space="0" w:color="auto"/>
        <w:right w:val="single" w:sz="4" w:space="0" w:color="auto"/>
      </w:pBdr>
      <w:spacing w:before="100" w:beforeAutospacing="1" w:after="100" w:afterAutospacing="1"/>
      <w:textAlignment w:val="center"/>
    </w:pPr>
    <w:rPr>
      <w:lang w:eastAsia="es-MX"/>
    </w:rPr>
  </w:style>
  <w:style w:type="paragraph" w:customStyle="1" w:styleId="xl65">
    <w:name w:val="xl65"/>
    <w:basedOn w:val="Normal"/>
    <w:rsid w:val="00C03F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s-MX"/>
    </w:rPr>
  </w:style>
  <w:style w:type="paragraph" w:customStyle="1" w:styleId="xl66">
    <w:name w:val="xl66"/>
    <w:basedOn w:val="Normal"/>
    <w:rsid w:val="00C03F00"/>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textAlignment w:val="center"/>
    </w:pPr>
    <w:rPr>
      <w:lang w:eastAsia="es-MX"/>
    </w:rPr>
  </w:style>
  <w:style w:type="paragraph" w:customStyle="1" w:styleId="xl67">
    <w:name w:val="xl67"/>
    <w:basedOn w:val="Normal"/>
    <w:rsid w:val="00C03F00"/>
    <w:pPr>
      <w:pBdr>
        <w:left w:val="single" w:sz="4" w:space="0" w:color="auto"/>
        <w:bottom w:val="single" w:sz="4" w:space="0" w:color="auto"/>
        <w:right w:val="single" w:sz="4" w:space="0" w:color="auto"/>
      </w:pBdr>
      <w:shd w:val="clear" w:color="000000" w:fill="AEAAAA"/>
      <w:spacing w:before="100" w:beforeAutospacing="1" w:after="100" w:afterAutospacing="1"/>
      <w:textAlignment w:val="center"/>
    </w:pPr>
    <w:rPr>
      <w:lang w:eastAsia="es-MX"/>
    </w:rPr>
  </w:style>
  <w:style w:type="paragraph" w:customStyle="1" w:styleId="xl68">
    <w:name w:val="xl68"/>
    <w:basedOn w:val="Normal"/>
    <w:rsid w:val="00C03F00"/>
    <w:pPr>
      <w:pBdr>
        <w:top w:val="single" w:sz="4" w:space="0" w:color="auto"/>
        <w:left w:val="single" w:sz="4" w:space="0" w:color="auto"/>
        <w:right w:val="single" w:sz="4" w:space="0" w:color="auto"/>
      </w:pBdr>
      <w:spacing w:before="100" w:beforeAutospacing="1" w:after="100" w:afterAutospacing="1"/>
      <w:textAlignment w:val="center"/>
    </w:pPr>
    <w:rPr>
      <w:lang w:eastAsia="es-MX"/>
    </w:rPr>
  </w:style>
  <w:style w:type="paragraph" w:customStyle="1" w:styleId="xl69">
    <w:name w:val="xl69"/>
    <w:basedOn w:val="Normal"/>
    <w:rsid w:val="00C03F00"/>
    <w:pPr>
      <w:pBdr>
        <w:left w:val="single" w:sz="4" w:space="0" w:color="auto"/>
        <w:bottom w:val="single" w:sz="4" w:space="0" w:color="auto"/>
        <w:right w:val="single" w:sz="4" w:space="0" w:color="auto"/>
      </w:pBdr>
      <w:shd w:val="clear" w:color="000000" w:fill="AEAAAA"/>
      <w:spacing w:before="100" w:beforeAutospacing="1" w:after="100" w:afterAutospacing="1"/>
    </w:pPr>
    <w:rPr>
      <w:lang w:eastAsia="es-MX"/>
    </w:rPr>
  </w:style>
  <w:style w:type="paragraph" w:customStyle="1" w:styleId="xl70">
    <w:name w:val="xl70"/>
    <w:basedOn w:val="Normal"/>
    <w:rsid w:val="00C03F00"/>
    <w:pPr>
      <w:pBdr>
        <w:top w:val="single" w:sz="4" w:space="0" w:color="auto"/>
        <w:left w:val="single" w:sz="4" w:space="0" w:color="auto"/>
        <w:bottom w:val="single" w:sz="4" w:space="0" w:color="auto"/>
        <w:right w:val="single" w:sz="4" w:space="0" w:color="auto"/>
      </w:pBdr>
      <w:spacing w:before="100" w:beforeAutospacing="1" w:after="100" w:afterAutospacing="1"/>
    </w:pPr>
    <w:rPr>
      <w:lang w:eastAsia="es-MX"/>
    </w:rPr>
  </w:style>
  <w:style w:type="paragraph" w:customStyle="1" w:styleId="xl71">
    <w:name w:val="xl71"/>
    <w:basedOn w:val="Normal"/>
    <w:rsid w:val="00C03F00"/>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pPr>
    <w:rPr>
      <w:lang w:eastAsia="es-MX"/>
    </w:rPr>
  </w:style>
  <w:style w:type="paragraph" w:customStyle="1" w:styleId="xl72">
    <w:name w:val="xl72"/>
    <w:basedOn w:val="Normal"/>
    <w:rsid w:val="00C03F00"/>
    <w:pPr>
      <w:pBdr>
        <w:left w:val="single" w:sz="4" w:space="0" w:color="auto"/>
        <w:bottom w:val="single" w:sz="4" w:space="0" w:color="auto"/>
        <w:right w:val="single" w:sz="4" w:space="0" w:color="auto"/>
      </w:pBdr>
      <w:spacing w:before="100" w:beforeAutospacing="1" w:after="100" w:afterAutospacing="1"/>
    </w:pPr>
    <w:rPr>
      <w:lang w:eastAsia="es-MX"/>
    </w:rPr>
  </w:style>
  <w:style w:type="paragraph" w:customStyle="1" w:styleId="xl73">
    <w:name w:val="xl73"/>
    <w:basedOn w:val="Normal"/>
    <w:rsid w:val="00C03F00"/>
    <w:pPr>
      <w:pBdr>
        <w:left w:val="single" w:sz="4" w:space="0" w:color="auto"/>
        <w:bottom w:val="single" w:sz="4" w:space="0" w:color="auto"/>
        <w:right w:val="single" w:sz="4" w:space="0" w:color="auto"/>
      </w:pBdr>
      <w:spacing w:before="100" w:beforeAutospacing="1" w:after="100" w:afterAutospacing="1"/>
    </w:pPr>
    <w:rPr>
      <w:sz w:val="20"/>
      <w:szCs w:val="20"/>
      <w:lang w:eastAsia="es-MX"/>
    </w:rPr>
  </w:style>
  <w:style w:type="paragraph" w:customStyle="1" w:styleId="xl74">
    <w:name w:val="xl74"/>
    <w:basedOn w:val="Normal"/>
    <w:rsid w:val="00C03F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MX"/>
    </w:rPr>
  </w:style>
  <w:style w:type="paragraph" w:customStyle="1" w:styleId="xl75">
    <w:name w:val="xl75"/>
    <w:basedOn w:val="Normal"/>
    <w:rsid w:val="00C03F00"/>
    <w:pPr>
      <w:pBdr>
        <w:left w:val="single" w:sz="4" w:space="0" w:color="auto"/>
        <w:bottom w:val="single" w:sz="4" w:space="0" w:color="auto"/>
        <w:right w:val="single" w:sz="4" w:space="0" w:color="auto"/>
      </w:pBdr>
      <w:spacing w:before="100" w:beforeAutospacing="1" w:after="100" w:afterAutospacing="1"/>
    </w:pPr>
    <w:rPr>
      <w:color w:val="FF0000"/>
      <w:lang w:eastAsia="es-MX"/>
    </w:rPr>
  </w:style>
  <w:style w:type="paragraph" w:customStyle="1" w:styleId="xl76">
    <w:name w:val="xl76"/>
    <w:basedOn w:val="Normal"/>
    <w:rsid w:val="00C03F00"/>
    <w:pPr>
      <w:pBdr>
        <w:left w:val="single" w:sz="4" w:space="0" w:color="auto"/>
        <w:bottom w:val="single" w:sz="4" w:space="0" w:color="auto"/>
        <w:right w:val="single" w:sz="4" w:space="0" w:color="auto"/>
      </w:pBdr>
      <w:shd w:val="clear" w:color="000000" w:fill="AEAAAA"/>
      <w:spacing w:before="100" w:beforeAutospacing="1" w:after="100" w:afterAutospacing="1"/>
    </w:pPr>
    <w:rPr>
      <w:color w:val="FF0000"/>
      <w:lang w:eastAsia="es-MX"/>
    </w:rPr>
  </w:style>
  <w:style w:type="paragraph" w:customStyle="1" w:styleId="xl77">
    <w:name w:val="xl77"/>
    <w:basedOn w:val="Normal"/>
    <w:rsid w:val="00C03F00"/>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es-MX"/>
    </w:rPr>
  </w:style>
  <w:style w:type="paragraph" w:customStyle="1" w:styleId="Texto">
    <w:name w:val="Texto"/>
    <w:basedOn w:val="Normal"/>
    <w:link w:val="TextoCar"/>
    <w:qFormat/>
    <w:rsid w:val="0031750F"/>
    <w:pPr>
      <w:spacing w:after="101" w:line="216" w:lineRule="exact"/>
      <w:ind w:firstLine="288"/>
      <w:jc w:val="both"/>
    </w:pPr>
    <w:rPr>
      <w:rFonts w:ascii="Arial" w:hAnsi="Arial" w:cs="Arial"/>
      <w:sz w:val="18"/>
      <w:szCs w:val="20"/>
      <w:lang w:val="es-ES"/>
    </w:rPr>
  </w:style>
  <w:style w:type="character" w:customStyle="1" w:styleId="TextoCar">
    <w:name w:val="Texto Car"/>
    <w:link w:val="Texto"/>
    <w:locked/>
    <w:rsid w:val="0031750F"/>
    <w:rPr>
      <w:rFonts w:ascii="Arial"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4524856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25067747">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57610657">
      <w:bodyDiv w:val="1"/>
      <w:marLeft w:val="0"/>
      <w:marRight w:val="0"/>
      <w:marTop w:val="0"/>
      <w:marBottom w:val="0"/>
      <w:divBdr>
        <w:top w:val="none" w:sz="0" w:space="0" w:color="auto"/>
        <w:left w:val="none" w:sz="0" w:space="0" w:color="auto"/>
        <w:bottom w:val="none" w:sz="0" w:space="0" w:color="auto"/>
        <w:right w:val="none" w:sz="0" w:space="0" w:color="auto"/>
      </w:divBdr>
    </w:div>
    <w:div w:id="662591431">
      <w:bodyDiv w:val="1"/>
      <w:marLeft w:val="0"/>
      <w:marRight w:val="0"/>
      <w:marTop w:val="0"/>
      <w:marBottom w:val="0"/>
      <w:divBdr>
        <w:top w:val="none" w:sz="0" w:space="0" w:color="auto"/>
        <w:left w:val="none" w:sz="0" w:space="0" w:color="auto"/>
        <w:bottom w:val="none" w:sz="0" w:space="0" w:color="auto"/>
        <w:right w:val="none" w:sz="0" w:space="0" w:color="auto"/>
      </w:divBdr>
      <w:divsChild>
        <w:div w:id="650251574">
          <w:marLeft w:val="0"/>
          <w:marRight w:val="0"/>
          <w:marTop w:val="0"/>
          <w:marBottom w:val="0"/>
          <w:divBdr>
            <w:top w:val="none" w:sz="0" w:space="0" w:color="auto"/>
            <w:left w:val="none" w:sz="0" w:space="0" w:color="auto"/>
            <w:bottom w:val="none" w:sz="0" w:space="0" w:color="auto"/>
            <w:right w:val="none" w:sz="0" w:space="0" w:color="auto"/>
          </w:divBdr>
          <w:divsChild>
            <w:div w:id="1468089586">
              <w:marLeft w:val="0"/>
              <w:marRight w:val="0"/>
              <w:marTop w:val="0"/>
              <w:marBottom w:val="0"/>
              <w:divBdr>
                <w:top w:val="none" w:sz="0" w:space="0" w:color="auto"/>
                <w:left w:val="none" w:sz="0" w:space="0" w:color="auto"/>
                <w:bottom w:val="none" w:sz="0" w:space="0" w:color="auto"/>
                <w:right w:val="none" w:sz="0" w:space="0" w:color="auto"/>
              </w:divBdr>
            </w:div>
          </w:divsChild>
        </w:div>
        <w:div w:id="790633126">
          <w:marLeft w:val="0"/>
          <w:marRight w:val="0"/>
          <w:marTop w:val="0"/>
          <w:marBottom w:val="0"/>
          <w:divBdr>
            <w:top w:val="none" w:sz="0" w:space="0" w:color="auto"/>
            <w:left w:val="none" w:sz="0" w:space="0" w:color="auto"/>
            <w:bottom w:val="none" w:sz="0" w:space="0" w:color="auto"/>
            <w:right w:val="none" w:sz="0" w:space="0" w:color="auto"/>
          </w:divBdr>
          <w:divsChild>
            <w:div w:id="1451776862">
              <w:marLeft w:val="0"/>
              <w:marRight w:val="0"/>
              <w:marTop w:val="0"/>
              <w:marBottom w:val="0"/>
              <w:divBdr>
                <w:top w:val="none" w:sz="0" w:space="0" w:color="auto"/>
                <w:left w:val="none" w:sz="0" w:space="0" w:color="auto"/>
                <w:bottom w:val="none" w:sz="0" w:space="0" w:color="auto"/>
                <w:right w:val="none" w:sz="0" w:space="0" w:color="auto"/>
              </w:divBdr>
            </w:div>
            <w:div w:id="1394231586">
              <w:marLeft w:val="0"/>
              <w:marRight w:val="0"/>
              <w:marTop w:val="0"/>
              <w:marBottom w:val="0"/>
              <w:divBdr>
                <w:top w:val="none" w:sz="0" w:space="0" w:color="auto"/>
                <w:left w:val="none" w:sz="0" w:space="0" w:color="auto"/>
                <w:bottom w:val="none" w:sz="0" w:space="0" w:color="auto"/>
                <w:right w:val="none" w:sz="0" w:space="0" w:color="auto"/>
              </w:divBdr>
            </w:div>
          </w:divsChild>
        </w:div>
        <w:div w:id="1928422528">
          <w:marLeft w:val="0"/>
          <w:marRight w:val="0"/>
          <w:marTop w:val="0"/>
          <w:marBottom w:val="0"/>
          <w:divBdr>
            <w:top w:val="none" w:sz="0" w:space="0" w:color="auto"/>
            <w:left w:val="none" w:sz="0" w:space="0" w:color="auto"/>
            <w:bottom w:val="none" w:sz="0" w:space="0" w:color="auto"/>
            <w:right w:val="none" w:sz="0" w:space="0" w:color="auto"/>
          </w:divBdr>
          <w:divsChild>
            <w:div w:id="17498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88269536">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49D9D-5251-4EA3-8085-EAF22C90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6455</Words>
  <Characters>38210</Characters>
  <Application>Microsoft Office Word</Application>
  <DocSecurity>0</DocSecurity>
  <Lines>318</Lines>
  <Paragraphs>89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Alyson I. Garcia Zalazar</cp:lastModifiedBy>
  <cp:revision>2</cp:revision>
  <cp:lastPrinted>2022-03-01T20:10:00Z</cp:lastPrinted>
  <dcterms:created xsi:type="dcterms:W3CDTF">2022-03-01T20:15:00Z</dcterms:created>
  <dcterms:modified xsi:type="dcterms:W3CDTF">2022-03-01T20:15:00Z</dcterms:modified>
</cp:coreProperties>
</file>